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“苏银理财恒源6月定开22期”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  <w:bookmarkStart w:id="0" w:name="_GoBack"/>
      <w:bookmarkEnd w:id="0"/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2025年4月1日-2025年9月29日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J03179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苏银理财恒源6月定开22期A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2.34%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J03180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苏银理财恒源6月定开22期C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2.43%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J03181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苏银理财恒源6月定开22期D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2.49%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J03182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苏银理财恒源6月定开22期F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2.34%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J03183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苏银理财恒源6月定开22期G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J03184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苏银理财恒源6月定开22期L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2.34%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2025年9月30日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2025-06-23T07:52:45Z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B28C869CAEF84DEAB2E46F63DCBF7658</vt:lpwstr>
  </property>
</Properties>
</file>