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【稳利安盈封闭式】</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8</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稳利安盈封闭式</w:t>
      </w:r>
      <w:r>
        <w:rPr>
          <w:rFonts w:hint="eastAsia" w:asciiTheme="majorEastAsia" w:hAnsiTheme="majorEastAsia" w:eastAsiaTheme="majorEastAsia"/>
          <w:bCs/>
          <w:sz w:val="18"/>
          <w:szCs w:val="18"/>
        </w:rPr>
        <w:t>】</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w:t>
      </w:r>
      <w:bookmarkStart w:id="156" w:name="_GoBack"/>
      <w:bookmarkEnd w:id="156"/>
      <w:r>
        <w:rPr>
          <w:rFonts w:hint="eastAsia" w:asciiTheme="majorEastAsia" w:hAnsiTheme="majorEastAsia" w:eastAsiaTheme="majorEastAsia"/>
          <w:bCs/>
          <w:color w:val="auto"/>
          <w:sz w:val="18"/>
          <w:szCs w:val="18"/>
        </w:rPr>
        <w:t>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【兴银理财稳利安盈封闭式2025年44期固收类理财产品】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hint="eastAsia" w:asciiTheme="majorEastAsia" w:hAnsiTheme="majorEastAsia" w:eastAsiaTheme="majorEastAsia"/>
                <w:bCs/>
                <w:kern w:val="0"/>
                <w:sz w:val="18"/>
                <w:szCs w:val="18"/>
              </w:rPr>
              <w:t>【兴银理财稳利安盈封闭式2025年44期E】</w:t>
            </w:r>
            <w:r>
              <w:rPr>
                <w:rFonts w:hint="eastAsia" w:hAnsi="宋体"/>
                <w:sz w:val="18"/>
                <w:szCs w:val="18"/>
              </w:rPr>
              <w:t>（</w:t>
            </w:r>
            <w:r>
              <w:rPr>
                <w:rFonts w:hint="eastAsia" w:hAnsi="宋体"/>
                <w:sz w:val="18"/>
                <w:szCs w:val="18"/>
                <w:lang w:eastAsia="zh-CN"/>
              </w:rPr>
              <w:t>适用【E】类份额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【Z7002025000937】</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9A250440】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ascii="宋体" w:hAnsi="宋体"/>
                <w:bCs/>
                <w:sz w:val="18"/>
                <w:szCs w:val="18"/>
              </w:rPr>
              <w:t>9A25044</w:t>
            </w:r>
            <w:r>
              <w:rPr>
                <w:rFonts w:hint="eastAsia" w:ascii="宋体" w:hAnsi="宋体"/>
                <w:bCs/>
                <w:sz w:val="18"/>
                <w:szCs w:val="18"/>
                <w:lang w:val="en-US" w:eastAsia="zh-CN"/>
              </w:rPr>
              <w:t>E</w:t>
            </w:r>
            <w:r>
              <w:rPr>
                <w:rFonts w:hint="eastAsia" w:hAnsi="宋体"/>
                <w:sz w:val="18"/>
                <w:szCs w:val="18"/>
              </w:rPr>
              <w:t>】（</w:t>
            </w:r>
            <w:r>
              <w:rPr>
                <w:rFonts w:hint="eastAsia" w:hAnsi="宋体"/>
                <w:sz w:val="18"/>
                <w:szCs w:val="18"/>
                <w:lang w:eastAsia="zh-CN"/>
              </w:rPr>
              <w:t>适用【E】类份额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autoSpaceDE w:val="0"/>
              <w:autoSpaceDN w:val="0"/>
              <w:adjustRightInd w:val="0"/>
              <w:spacing w:line="360" w:lineRule="auto"/>
              <w:jc w:val="left"/>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hint="eastAsia" w:hAnsi="宋体"/>
                <w:sz w:val="18"/>
                <w:szCs w:val="18"/>
              </w:rPr>
              <w:t>（</w:t>
            </w:r>
            <w:r>
              <w:rPr>
                <w:rFonts w:hint="eastAsia" w:hAnsi="宋体"/>
                <w:sz w:val="18"/>
                <w:szCs w:val="18"/>
                <w:lang w:eastAsia="zh-CN"/>
              </w:rPr>
              <w:t>适用【E】类份额</w:t>
            </w:r>
            <w:r>
              <w:rPr>
                <w:rFonts w:hint="eastAsia" w:hAnsi="宋体"/>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15</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99天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07</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cs="Times New Roman" w:asciiTheme="minorEastAsia" w:hAnsiTheme="minorEastAsia"/>
                <w:sz w:val="18"/>
                <w:szCs w:val="18"/>
                <w:lang w:val="en-US"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适用【E】类份额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w:t>
            </w:r>
            <w:r>
              <w:rPr>
                <w:rFonts w:hint="eastAsia" w:hAnsi="宋体"/>
                <w:bCs/>
                <w:sz w:val="18"/>
                <w:szCs w:val="18"/>
                <w:lang w:eastAsia="zh-CN"/>
              </w:rPr>
              <w:t>适用【E】类份额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int="eastAsia" w:hAnsi="宋体"/>
                <w:sz w:val="18"/>
                <w:szCs w:val="18"/>
              </w:rPr>
              <w:t>（</w:t>
            </w:r>
            <w:r>
              <w:rPr>
                <w:rFonts w:hint="eastAsia" w:hAnsi="宋体"/>
                <w:sz w:val="18"/>
                <w:szCs w:val="18"/>
                <w:lang w:eastAsia="zh-CN"/>
              </w:rPr>
              <w:t>适用【E】类份额</w:t>
            </w:r>
            <w:r>
              <w:rPr>
                <w:rFonts w:hint="eastAsia" w:hAnsi="宋体"/>
                <w:sz w:val="18"/>
                <w:szCs w:val="18"/>
              </w:rPr>
              <w:t>）</w:t>
            </w:r>
          </w:p>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【产品投资债权类资产不低于80%，根据当前市场环境下大类资产合理配置比例及大类资产收益情况，考虑杠杆和费率等因素，并结合产品投资策略，设定业绩比较基准。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hint="eastAsia" w:asciiTheme="majorEastAsia" w:hAnsiTheme="majorEastAsia" w:eastAsiaTheme="majorEastAsia"/>
                <w:bCs/>
                <w:sz w:val="18"/>
                <w:szCs w:val="18"/>
              </w:rPr>
              <w:t>。</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1.70%</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w:t>
            </w:r>
            <w:r>
              <w:rPr>
                <w:rFonts w:hint="eastAsia" w:hAnsi="宋体"/>
                <w:bCs/>
                <w:sz w:val="18"/>
                <w:szCs w:val="18"/>
                <w:lang w:eastAsia="zh-CN"/>
              </w:rPr>
              <w:t>适用【E】类份额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autoSpaceDE w:val="0"/>
              <w:autoSpaceDN w:val="0"/>
              <w:adjustRightInd w:val="0"/>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r>
              <w:rPr>
                <w:rFonts w:hint="eastAsia" w:asciiTheme="majorEastAsia" w:hAnsiTheme="majorEastAsia"/>
                <w:sz w:val="18"/>
                <w:lang w:val="en-US" w:eastAsia="zh-CN"/>
              </w:rPr>
              <w:t>年化</w:t>
            </w:r>
            <w:r>
              <w:rPr>
                <w:rFonts w:hint="eastAsia" w:ascii="宋体" w:hAnsi="宋体"/>
                <w:bCs/>
                <w:sz w:val="18"/>
                <w:szCs w:val="18"/>
              </w:rPr>
              <w:t>【</w:t>
            </w:r>
            <w:r>
              <w:rPr>
                <w:rFonts w:hint="eastAsia" w:ascii="宋体" w:hAnsi="宋体"/>
                <w:bCs/>
                <w:sz w:val="18"/>
                <w:szCs w:val="18"/>
                <w:lang w:val="en-US" w:eastAsia="zh-CN"/>
              </w:rPr>
              <w:t>1.70%</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适用【E】类份额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0.20%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0.05%</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0.02%</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宋体" w:hAnsi="宋体"/>
                <w:sz w:val="18"/>
                <w:szCs w:val="18"/>
                <w:lang w:val="en-US" w:eastAsia="zh-CN"/>
              </w:rPr>
              <w:t>50%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15203"/>
      <w:bookmarkStart w:id="12" w:name="_Toc22074"/>
      <w:bookmarkStart w:id="13" w:name="_Toc90742321"/>
      <w:bookmarkStart w:id="14" w:name="_Toc16265"/>
      <w:bookmarkStart w:id="15" w:name="_Toc27189"/>
      <w:bookmarkStart w:id="16" w:name="_Toc29948"/>
      <w:bookmarkStart w:id="17" w:name="_Toc90742390"/>
      <w:bookmarkStart w:id="18" w:name="_Toc79154668"/>
      <w:bookmarkStart w:id="19" w:name="_Toc3266"/>
      <w:bookmarkStart w:id="20" w:name="_Toc90742688"/>
      <w:bookmarkStart w:id="21" w:name="_Toc29784"/>
      <w:bookmarkStart w:id="22" w:name="_Toc7151"/>
      <w:bookmarkStart w:id="23" w:name="_Toc27226"/>
      <w:bookmarkStart w:id="24" w:name="_Toc74065741"/>
      <w:bookmarkStart w:id="25" w:name="_Toc671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hint="eastAsia"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（4）其他风险不高于前述资产的资产。</w:t>
      </w:r>
    </w:p>
    <w:p>
      <w:pPr>
        <w:pStyle w:val="34"/>
        <w:spacing w:line="360" w:lineRule="auto"/>
        <w:ind w:firstLine="360" w:firstLineChars="200"/>
        <w:rPr>
          <w:rFonts w:asciiTheme="majorEastAsia" w:hAnsiTheme="majorEastAsia" w:eastAsiaTheme="majorEastAsia"/>
          <w:bCs/>
          <w:sz w:val="18"/>
          <w:szCs w:val="18"/>
        </w:rPr>
      </w:pP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（2）投资于同业存单及存款类资产的比例不低于产品净资产的50%。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hint="eastAsia" w:asciiTheme="majorEastAsia" w:hAnsiTheme="majorEastAsia" w:eastAsiaTheme="majorEastAsia"/>
          <w:bCs/>
          <w:sz w:val="18"/>
          <w:szCs w:val="18"/>
          <w:lang w:eastAsia="zh-CN"/>
        </w:rPr>
      </w:pPr>
      <w:r>
        <w:rPr>
          <w:rFonts w:hint="eastAsia" w:asciiTheme="majorEastAsia" w:hAnsiTheme="majorEastAsia" w:eastAsiaTheme="majorEastAsia"/>
          <w:bCs/>
          <w:sz w:val="18"/>
          <w:szCs w:val="18"/>
          <w:lang w:eastAsia="zh-CN"/>
        </w:rPr>
        <w:t>（</w:t>
      </w:r>
      <w:r>
        <w:rPr>
          <w:rFonts w:hint="eastAsia" w:asciiTheme="majorEastAsia" w:hAnsiTheme="majorEastAsia" w:eastAsiaTheme="majorEastAsia"/>
          <w:bCs/>
          <w:sz w:val="18"/>
          <w:szCs w:val="18"/>
          <w:lang w:val="en-US" w:eastAsia="zh-CN"/>
        </w:rPr>
        <w:t>6</w:t>
      </w:r>
      <w:r>
        <w:rPr>
          <w:rFonts w:hint="eastAsia" w:asciiTheme="majorEastAsia" w:hAnsiTheme="majorEastAsia" w:eastAsiaTheme="majorEastAsia"/>
          <w:bCs/>
          <w:sz w:val="18"/>
          <w:szCs w:val="18"/>
          <w:lang w:eastAsia="zh-CN"/>
        </w:rPr>
        <w:t>）本产品投资于信用债券、银行存款、非标准化债权类资产融资人的信用评级均不得低于AA+。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Theme="majorEastAsia" w:hAnsiTheme="majorEastAsia" w:eastAsiaTheme="majorEastAsia"/>
          <w:bCs/>
          <w:sz w:val="18"/>
          <w:szCs w:val="18"/>
        </w:rPr>
      </w:pP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26986"/>
      <w:bookmarkStart w:id="29" w:name="_Toc4741"/>
      <w:bookmarkStart w:id="30" w:name="_Toc21988"/>
      <w:bookmarkStart w:id="31" w:name="_Toc139991735"/>
      <w:bookmarkStart w:id="32" w:name="_Toc14893"/>
      <w:bookmarkStart w:id="33" w:name="_Toc1823"/>
      <w:bookmarkStart w:id="34" w:name="_Toc17912"/>
      <w:bookmarkStart w:id="35" w:name="_Toc18797"/>
      <w:bookmarkStart w:id="36" w:name="_Toc141703885"/>
      <w:bookmarkStart w:id="37" w:name="_Toc176189758"/>
      <w:bookmarkStart w:id="38" w:name="_Toc74065742"/>
      <w:bookmarkStart w:id="39" w:name="_Toc7848"/>
      <w:bookmarkStart w:id="40" w:name="_Toc18526"/>
      <w:bookmarkStart w:id="41" w:name="_Toc79154669"/>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23051452"/>
      <w:bookmarkStart w:id="44" w:name="_Toc139991736"/>
      <w:bookmarkStart w:id="45" w:name="_Toc1270"/>
      <w:bookmarkStart w:id="46" w:name="_Toc4003"/>
      <w:bookmarkStart w:id="47" w:name="_Toc123112234"/>
      <w:bookmarkStart w:id="48" w:name="_Toc141703886"/>
      <w:bookmarkStart w:id="49" w:name="_Toc610"/>
      <w:bookmarkStart w:id="50" w:name="_Toc20733"/>
      <w:bookmarkStart w:id="51" w:name="_Toc1427"/>
      <w:bookmarkStart w:id="52" w:name="_Toc176189759"/>
      <w:bookmarkStart w:id="53" w:name="_Toc123102453"/>
      <w:bookmarkStart w:id="54" w:name="_Toc23822"/>
      <w:bookmarkStart w:id="55" w:name="_Toc74065743"/>
      <w:bookmarkStart w:id="56" w:name="_Toc79154670"/>
      <w:bookmarkStart w:id="57" w:name="_Toc23261"/>
      <w:bookmarkStart w:id="58" w:name="_Toc98560352"/>
      <w:bookmarkStart w:id="59" w:name="_Toc17244"/>
      <w:bookmarkStart w:id="60" w:name="_Toc48649707"/>
      <w:bookmarkStart w:id="61" w:name="_Toc79392606"/>
      <w:bookmarkStart w:id="62" w:name="_Toc10463"/>
      <w:bookmarkStart w:id="63" w:name="_Toc792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53"/>
      <w:bookmarkStart w:id="66" w:name="_Toc31235"/>
      <w:bookmarkStart w:id="67" w:name="_Toc26207"/>
      <w:bookmarkStart w:id="68" w:name="_Toc123051453"/>
      <w:bookmarkStart w:id="69" w:name="_Toc176189760"/>
      <w:bookmarkStart w:id="70" w:name="_Toc98560353"/>
      <w:bookmarkStart w:id="71" w:name="_Toc3601"/>
      <w:bookmarkStart w:id="72" w:name="_Toc29251"/>
      <w:bookmarkStart w:id="73" w:name="_Toc123112235"/>
      <w:bookmarkStart w:id="74" w:name="_Toc79154671"/>
      <w:bookmarkStart w:id="75" w:name="_Toc139991737"/>
      <w:bookmarkStart w:id="76" w:name="_Toc74065744"/>
      <w:bookmarkStart w:id="77" w:name="_Toc123102454"/>
      <w:bookmarkStart w:id="78" w:name="_Toc12245"/>
      <w:bookmarkStart w:id="79" w:name="_Toc31644"/>
      <w:bookmarkStart w:id="80" w:name="_Toc15143"/>
      <w:bookmarkStart w:id="81" w:name="_Toc141703887"/>
      <w:bookmarkStart w:id="82" w:name="_Toc14835"/>
      <w:bookmarkStart w:id="83" w:name="_Toc640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523711668"/>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058"/>
      <w:bookmarkStart w:id="92" w:name="_Toc11030"/>
      <w:bookmarkStart w:id="93" w:name="_Toc139991738"/>
      <w:bookmarkStart w:id="94" w:name="_Toc6447"/>
      <w:bookmarkStart w:id="95" w:name="_Toc18567"/>
      <w:bookmarkStart w:id="96" w:name="_Toc79392583"/>
      <w:bookmarkStart w:id="97" w:name="_Toc176189761"/>
      <w:bookmarkStart w:id="98" w:name="_Toc9706"/>
      <w:bookmarkStart w:id="99" w:name="_Toc25783"/>
      <w:bookmarkStart w:id="100" w:name="_Toc79154672"/>
      <w:bookmarkStart w:id="101" w:name="_Toc98560354"/>
      <w:bookmarkStart w:id="102" w:name="_Toc3321"/>
      <w:bookmarkStart w:id="103" w:name="_Toc123051454"/>
      <w:bookmarkStart w:id="104" w:name="_Toc141703888"/>
      <w:bookmarkStart w:id="105" w:name="_Toc123102455"/>
      <w:bookmarkStart w:id="106" w:name="_Toc4559"/>
      <w:bookmarkStart w:id="107" w:name="_Toc74065745"/>
      <w:bookmarkStart w:id="108" w:name="_Toc10650"/>
      <w:bookmarkStart w:id="109" w:name="_Toc123112236"/>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76189762"/>
      <w:bookmarkStart w:id="114" w:name="_Toc123051455"/>
      <w:bookmarkStart w:id="115" w:name="_Toc139991739"/>
      <w:bookmarkStart w:id="116" w:name="_Toc10398"/>
      <w:bookmarkStart w:id="117" w:name="_Toc725"/>
      <w:bookmarkStart w:id="118" w:name="_Toc79154673"/>
      <w:bookmarkStart w:id="119" w:name="_Toc74065746"/>
      <w:bookmarkStart w:id="120" w:name="_Toc18206"/>
      <w:bookmarkStart w:id="121" w:name="_Toc21735"/>
      <w:bookmarkStart w:id="122" w:name="_Toc141703889"/>
      <w:bookmarkStart w:id="123" w:name="_Toc16164"/>
      <w:bookmarkStart w:id="124" w:name="_Toc98560355"/>
      <w:bookmarkStart w:id="125" w:name="_Toc123102456"/>
      <w:bookmarkStart w:id="126" w:name="_Toc3080"/>
      <w:bookmarkStart w:id="127" w:name="_Toc31821"/>
      <w:bookmarkStart w:id="128" w:name="_Toc123112237"/>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98560356"/>
      <w:bookmarkStart w:id="135" w:name="_Toc79392622"/>
      <w:bookmarkStart w:id="136" w:name="_Toc141703890"/>
      <w:bookmarkStart w:id="137" w:name="_Toc29408"/>
      <w:bookmarkStart w:id="138" w:name="_Toc32584"/>
      <w:bookmarkStart w:id="139" w:name="_Toc8791"/>
      <w:bookmarkStart w:id="140" w:name="_Toc17920"/>
      <w:bookmarkStart w:id="141" w:name="_Toc5170"/>
      <w:bookmarkStart w:id="142" w:name="_Toc739"/>
      <w:bookmarkStart w:id="143" w:name="_Toc48649708"/>
      <w:bookmarkStart w:id="144" w:name="_Toc17198"/>
      <w:bookmarkStart w:id="145" w:name="_Toc74065747"/>
      <w:bookmarkStart w:id="146" w:name="_Toc21237"/>
      <w:bookmarkStart w:id="147" w:name="_Toc123112238"/>
      <w:bookmarkStart w:id="148" w:name="_Toc123102457"/>
      <w:bookmarkStart w:id="149" w:name="_Toc123051456"/>
      <w:bookmarkStart w:id="150" w:name="_Toc79154674"/>
      <w:bookmarkStart w:id="151" w:name="_Toc176189763"/>
      <w:bookmarkStart w:id="152" w:name="_Toc32092"/>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935544"/>
    <w:rsid w:val="046E31C1"/>
    <w:rsid w:val="056C4F65"/>
    <w:rsid w:val="06F4696E"/>
    <w:rsid w:val="07245E56"/>
    <w:rsid w:val="072779FF"/>
    <w:rsid w:val="073C7971"/>
    <w:rsid w:val="0C023D8C"/>
    <w:rsid w:val="0CE13A6D"/>
    <w:rsid w:val="0DC97F51"/>
    <w:rsid w:val="0E94232E"/>
    <w:rsid w:val="0E956162"/>
    <w:rsid w:val="0F1306D5"/>
    <w:rsid w:val="102179A4"/>
    <w:rsid w:val="11295396"/>
    <w:rsid w:val="163E2FB7"/>
    <w:rsid w:val="19DC26CA"/>
    <w:rsid w:val="1A48157B"/>
    <w:rsid w:val="1ABE2ED9"/>
    <w:rsid w:val="1B792633"/>
    <w:rsid w:val="1BD70953"/>
    <w:rsid w:val="1BF87698"/>
    <w:rsid w:val="1C78144D"/>
    <w:rsid w:val="1E585AB7"/>
    <w:rsid w:val="1EB160C2"/>
    <w:rsid w:val="1F713302"/>
    <w:rsid w:val="1FF145B9"/>
    <w:rsid w:val="2193546F"/>
    <w:rsid w:val="23083986"/>
    <w:rsid w:val="23190733"/>
    <w:rsid w:val="23AF29A3"/>
    <w:rsid w:val="25BB7169"/>
    <w:rsid w:val="26123FD6"/>
    <w:rsid w:val="26A102DA"/>
    <w:rsid w:val="26F50BA9"/>
    <w:rsid w:val="27A15455"/>
    <w:rsid w:val="29026D00"/>
    <w:rsid w:val="297A04B9"/>
    <w:rsid w:val="2A642791"/>
    <w:rsid w:val="2AB65D2E"/>
    <w:rsid w:val="2CC0460F"/>
    <w:rsid w:val="2DEA60FF"/>
    <w:rsid w:val="2E340BB4"/>
    <w:rsid w:val="2EA644DF"/>
    <w:rsid w:val="2F321A82"/>
    <w:rsid w:val="2FB532A0"/>
    <w:rsid w:val="2FF33A83"/>
    <w:rsid w:val="319C4BEA"/>
    <w:rsid w:val="31F538C8"/>
    <w:rsid w:val="324C1BC3"/>
    <w:rsid w:val="33DA2E89"/>
    <w:rsid w:val="342D7D51"/>
    <w:rsid w:val="34A72DBB"/>
    <w:rsid w:val="34C829B2"/>
    <w:rsid w:val="35381804"/>
    <w:rsid w:val="386A3F56"/>
    <w:rsid w:val="38F850F1"/>
    <w:rsid w:val="3A810EF7"/>
    <w:rsid w:val="3C131540"/>
    <w:rsid w:val="3C3802E9"/>
    <w:rsid w:val="3D213021"/>
    <w:rsid w:val="3D754273"/>
    <w:rsid w:val="3E0C1771"/>
    <w:rsid w:val="3E586AB8"/>
    <w:rsid w:val="3E5C1B1D"/>
    <w:rsid w:val="3EAE14E9"/>
    <w:rsid w:val="3FD261A6"/>
    <w:rsid w:val="42EB2F9C"/>
    <w:rsid w:val="45226963"/>
    <w:rsid w:val="45A2262A"/>
    <w:rsid w:val="45DF5261"/>
    <w:rsid w:val="46935C39"/>
    <w:rsid w:val="469F5C49"/>
    <w:rsid w:val="4A4C31A4"/>
    <w:rsid w:val="4D39606F"/>
    <w:rsid w:val="4E9D79E5"/>
    <w:rsid w:val="4EB412ED"/>
    <w:rsid w:val="4F8E3D4D"/>
    <w:rsid w:val="4FA308F4"/>
    <w:rsid w:val="506323AB"/>
    <w:rsid w:val="51F9353A"/>
    <w:rsid w:val="53B3493A"/>
    <w:rsid w:val="551D7584"/>
    <w:rsid w:val="5537323C"/>
    <w:rsid w:val="55855837"/>
    <w:rsid w:val="563926F9"/>
    <w:rsid w:val="56503211"/>
    <w:rsid w:val="57BD5DAE"/>
    <w:rsid w:val="58052A27"/>
    <w:rsid w:val="598B567E"/>
    <w:rsid w:val="5ADD4D16"/>
    <w:rsid w:val="5B10394B"/>
    <w:rsid w:val="5B6655C5"/>
    <w:rsid w:val="5BA577EB"/>
    <w:rsid w:val="5C624734"/>
    <w:rsid w:val="5DFA16AB"/>
    <w:rsid w:val="5FE91ABC"/>
    <w:rsid w:val="60A968BB"/>
    <w:rsid w:val="60D42826"/>
    <w:rsid w:val="612F5BBC"/>
    <w:rsid w:val="628E734C"/>
    <w:rsid w:val="646965D3"/>
    <w:rsid w:val="6580603B"/>
    <w:rsid w:val="6584625B"/>
    <w:rsid w:val="689E1B10"/>
    <w:rsid w:val="68B96EA7"/>
    <w:rsid w:val="68C7223A"/>
    <w:rsid w:val="68EF6886"/>
    <w:rsid w:val="694A7300"/>
    <w:rsid w:val="699457CF"/>
    <w:rsid w:val="6A735FA8"/>
    <w:rsid w:val="6CC37BFB"/>
    <w:rsid w:val="6DF60C58"/>
    <w:rsid w:val="6FDD1093"/>
    <w:rsid w:val="70167F30"/>
    <w:rsid w:val="709C0126"/>
    <w:rsid w:val="73487180"/>
    <w:rsid w:val="73EB7F47"/>
    <w:rsid w:val="75A81BFD"/>
    <w:rsid w:val="75CA1FA8"/>
    <w:rsid w:val="76022652"/>
    <w:rsid w:val="768501BE"/>
    <w:rsid w:val="76C8601E"/>
    <w:rsid w:val="7778235D"/>
    <w:rsid w:val="780B131D"/>
    <w:rsid w:val="78651BF7"/>
    <w:rsid w:val="7C5D00C9"/>
    <w:rsid w:val="7D80556D"/>
    <w:rsid w:val="7ED86E63"/>
    <w:rsid w:val="7F9C2B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4</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2025-07-24T06:26:51Z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0EC4E53844084BB8BF9E6D0327B3F36C</vt:lpwstr>
  </property>
</Properties>
</file>