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A59" w:rsidRDefault="009A057A">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关于代销苏银理财</w:t>
      </w:r>
      <w:r w:rsidR="00776067">
        <w:rPr>
          <w:rFonts w:ascii="宋体" w:eastAsia="宋体" w:hAnsi="宋体" w:cs="宋体" w:hint="eastAsia"/>
          <w:b/>
          <w:bCs/>
          <w:sz w:val="36"/>
        </w:rPr>
        <w:t>恒源融达1号</w:t>
      </w:r>
      <w:r>
        <w:rPr>
          <w:rFonts w:ascii="宋体" w:eastAsia="宋体" w:hAnsi="宋体" w:cs="宋体" w:hint="eastAsia"/>
          <w:b/>
          <w:bCs/>
          <w:sz w:val="36"/>
        </w:rPr>
        <w:t>的通知</w:t>
      </w:r>
    </w:p>
    <w:p w:rsidR="00F34A59" w:rsidRDefault="009A057A">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F34A59" w:rsidRDefault="009A057A">
      <w:pPr>
        <w:adjustRightInd/>
        <w:snapToGrid/>
        <w:spacing w:after="0"/>
        <w:ind w:firstLine="63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我行代销</w:t>
      </w:r>
      <w:r>
        <w:rPr>
          <w:rFonts w:ascii="仿宋_GB2312" w:eastAsia="仿宋_GB2312" w:hAnsi="微软雅黑" w:cs="宋体" w:hint="eastAsia"/>
          <w:color w:val="FF0000"/>
          <w:sz w:val="32"/>
          <w:szCs w:val="32"/>
        </w:rPr>
        <w:t>苏银理财有限责任</w:t>
      </w:r>
      <w:bookmarkStart w:id="0" w:name="_GoBack"/>
      <w:bookmarkEnd w:id="0"/>
      <w:r>
        <w:rPr>
          <w:rFonts w:ascii="仿宋_GB2312" w:eastAsia="仿宋_GB2312" w:hAnsi="微软雅黑" w:cs="宋体" w:hint="eastAsia"/>
          <w:color w:val="FF0000"/>
          <w:sz w:val="32"/>
          <w:szCs w:val="32"/>
        </w:rPr>
        <w:t>公司</w:t>
      </w:r>
      <w:r>
        <w:rPr>
          <w:rFonts w:ascii="仿宋_GB2312" w:eastAsia="仿宋_GB2312" w:hAnsi="微软雅黑" w:cs="宋体" w:hint="eastAsia"/>
          <w:color w:val="000000"/>
          <w:sz w:val="32"/>
          <w:szCs w:val="32"/>
        </w:rPr>
        <w:t>发行的苏银理财</w:t>
      </w:r>
      <w:r w:rsidR="00776067">
        <w:rPr>
          <w:rFonts w:ascii="仿宋_GB2312" w:eastAsia="仿宋_GB2312" w:hAnsi="微软雅黑" w:cs="宋体" w:hint="eastAsia"/>
          <w:color w:val="000000"/>
          <w:sz w:val="32"/>
          <w:szCs w:val="32"/>
        </w:rPr>
        <w:t>恒源融达1号</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2025年</w:t>
      </w:r>
      <w:r w:rsidR="002A2C83">
        <w:rPr>
          <w:rFonts w:ascii="仿宋_GB2312" w:eastAsia="仿宋_GB2312" w:hAnsi="微软雅黑" w:cs="宋体" w:hint="eastAsia"/>
          <w:color w:val="FF0000"/>
          <w:sz w:val="32"/>
          <w:szCs w:val="32"/>
        </w:rPr>
        <w:t>2</w:t>
      </w:r>
      <w:r>
        <w:rPr>
          <w:rFonts w:ascii="仿宋_GB2312" w:eastAsia="仿宋_GB2312" w:hAnsi="微软雅黑" w:cs="宋体" w:hint="eastAsia"/>
          <w:color w:val="FF0000"/>
          <w:sz w:val="32"/>
          <w:szCs w:val="32"/>
        </w:rPr>
        <w:t>月</w:t>
      </w:r>
      <w:r w:rsidR="00B305FC">
        <w:rPr>
          <w:rFonts w:ascii="仿宋_GB2312" w:eastAsia="仿宋_GB2312" w:hAnsi="微软雅黑" w:cs="宋体" w:hint="eastAsia"/>
          <w:color w:val="FF0000"/>
          <w:sz w:val="32"/>
          <w:szCs w:val="32"/>
        </w:rPr>
        <w:t>1</w:t>
      </w:r>
      <w:r w:rsidR="00776067">
        <w:rPr>
          <w:rFonts w:ascii="仿宋_GB2312" w:eastAsia="仿宋_GB2312" w:hAnsi="微软雅黑" w:cs="宋体" w:hint="eastAsia"/>
          <w:color w:val="FF0000"/>
          <w:sz w:val="32"/>
          <w:szCs w:val="32"/>
        </w:rPr>
        <w:t>1</w:t>
      </w:r>
      <w:r>
        <w:rPr>
          <w:rFonts w:ascii="仿宋_GB2312" w:eastAsia="仿宋_GB2312" w:hAnsi="微软雅黑" w:cs="宋体" w:hint="eastAsia"/>
          <w:color w:val="FF0000"/>
          <w:sz w:val="32"/>
          <w:szCs w:val="32"/>
        </w:rPr>
        <w:t>日</w:t>
      </w:r>
      <w:r w:rsidR="00776067">
        <w:rPr>
          <w:rFonts w:ascii="仿宋_GB2312" w:eastAsia="仿宋_GB2312" w:hAnsi="微软雅黑" w:cs="宋体" w:hint="eastAsia"/>
          <w:color w:val="FF0000"/>
          <w:sz w:val="32"/>
          <w:szCs w:val="32"/>
        </w:rPr>
        <w:t>起</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color w:val="FF0000"/>
          <w:sz w:val="32"/>
          <w:szCs w:val="32"/>
        </w:rPr>
        <w:t>柜面</w:t>
      </w:r>
      <w:r>
        <w:rPr>
          <w:rFonts w:ascii="仿宋_GB2312" w:eastAsia="仿宋_GB2312" w:hAnsi="微软雅黑" w:cs="宋体" w:hint="eastAsia"/>
          <w:color w:val="000000"/>
          <w:sz w:val="32"/>
          <w:szCs w:val="32"/>
        </w:rPr>
        <w:t>和</w:t>
      </w:r>
      <w:r>
        <w:rPr>
          <w:rFonts w:ascii="仿宋_GB2312" w:eastAsia="仿宋_GB2312" w:hAnsi="微软雅黑" w:cs="宋体" w:hint="eastAsia"/>
          <w:color w:val="FF0000"/>
          <w:sz w:val="32"/>
          <w:szCs w:val="32"/>
        </w:rPr>
        <w:t>手机银行</w:t>
      </w:r>
      <w:r>
        <w:rPr>
          <w:rFonts w:ascii="仿宋_GB2312" w:eastAsia="仿宋_GB2312" w:hAnsi="微软雅黑" w:cs="宋体" w:hint="eastAsia"/>
          <w:color w:val="000000" w:themeColor="text1"/>
          <w:sz w:val="32"/>
          <w:szCs w:val="32"/>
        </w:rPr>
        <w:t>等</w:t>
      </w:r>
      <w:r>
        <w:rPr>
          <w:rFonts w:ascii="仿宋_GB2312" w:eastAsia="仿宋_GB2312" w:hAnsi="微软雅黑" w:cs="宋体" w:hint="eastAsia"/>
          <w:color w:val="000000"/>
          <w:sz w:val="32"/>
          <w:szCs w:val="32"/>
        </w:rPr>
        <w:t>销售。销售服务费率为0.</w:t>
      </w:r>
      <w:r w:rsidR="005B496B">
        <w:rPr>
          <w:rFonts w:ascii="仿宋_GB2312" w:eastAsia="仿宋_GB2312" w:hAnsi="微软雅黑" w:cs="宋体" w:hint="eastAsia"/>
          <w:color w:val="000000"/>
          <w:sz w:val="32"/>
          <w:szCs w:val="32"/>
        </w:rPr>
        <w:t>1</w:t>
      </w:r>
      <w:r>
        <w:rPr>
          <w:rFonts w:ascii="仿宋_GB2312" w:eastAsia="仿宋_GB2312" w:hAnsi="微软雅黑" w:cs="宋体" w:hint="eastAsia"/>
          <w:color w:val="000000"/>
          <w:sz w:val="32"/>
          <w:szCs w:val="32"/>
        </w:rPr>
        <w:t>%/年。部分要素如下：</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848"/>
        <w:gridCol w:w="6468"/>
      </w:tblGrid>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1"/>
              <w:ind w:left="2"/>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产品名称</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3"/>
              <w:ind w:left="2"/>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苏银理财恒源融达1号</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40"/>
              <w:ind w:left="4"/>
              <w:rPr>
                <w:rFonts w:ascii="楷体" w:eastAsia="楷体" w:hAnsi="楷体" w:cs="宋体"/>
                <w:b/>
                <w:spacing w:val="-2"/>
                <w:kern w:val="2"/>
                <w:sz w:val="21"/>
                <w:szCs w:val="21"/>
              </w:rPr>
            </w:pPr>
            <w:r>
              <w:rPr>
                <w:rFonts w:ascii="楷体" w:eastAsia="楷体" w:hAnsi="楷体" w:cs="宋体" w:hint="eastAsia"/>
                <w:b/>
                <w:spacing w:val="-2"/>
                <w:kern w:val="2"/>
                <w:sz w:val="21"/>
                <w:szCs w:val="21"/>
              </w:rPr>
              <w:t>理财产品登记编码</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line="260" w:lineRule="exact"/>
              <w:ind w:left="10"/>
              <w:rPr>
                <w:rFonts w:ascii="楷体" w:eastAsia="楷体" w:hAnsi="楷体" w:cs="宋体"/>
                <w:spacing w:val="-2"/>
                <w:kern w:val="2"/>
                <w:sz w:val="21"/>
                <w:szCs w:val="21"/>
              </w:rPr>
            </w:pPr>
            <w:r>
              <w:rPr>
                <w:rFonts w:ascii="楷体" w:eastAsia="楷体" w:hAnsi="楷体" w:cs="宋体" w:hint="eastAsia"/>
                <w:spacing w:val="-2"/>
                <w:kern w:val="2"/>
                <w:sz w:val="21"/>
                <w:szCs w:val="21"/>
              </w:rPr>
              <w:t>Z7003123000062</w:t>
            </w:r>
          </w:p>
          <w:p w:rsidR="00776067" w:rsidRDefault="00776067">
            <w:pPr>
              <w:pStyle w:val="TableParagraph"/>
              <w:kinsoku w:val="0"/>
              <w:overflowPunct w:val="0"/>
              <w:spacing w:line="260" w:lineRule="exact"/>
              <w:ind w:left="10"/>
              <w:rPr>
                <w:rFonts w:ascii="楷体" w:eastAsia="楷体" w:hAnsi="楷体" w:cs="宋体"/>
                <w:spacing w:val="-2"/>
                <w:kern w:val="2"/>
                <w:sz w:val="21"/>
                <w:szCs w:val="21"/>
              </w:rPr>
            </w:pPr>
            <w:r>
              <w:rPr>
                <w:rFonts w:ascii="楷体" w:eastAsia="楷体" w:hAnsi="楷体" w:cs="宋体" w:hint="eastAsia"/>
                <w:spacing w:val="-2"/>
                <w:kern w:val="2"/>
                <w:sz w:val="21"/>
                <w:szCs w:val="21"/>
              </w:rPr>
              <w:t>（投资者可依据该编码在中国理财网</w:t>
            </w:r>
            <w:hyperlink r:id="rId6" w:history="1">
              <w:r>
                <w:rPr>
                  <w:rStyle w:val="a8"/>
                  <w:rFonts w:ascii="楷体" w:eastAsia="楷体" w:hAnsi="楷体" w:cs="宋体" w:hint="eastAsia"/>
                  <w:spacing w:val="-2"/>
                  <w:kern w:val="2"/>
                  <w:sz w:val="21"/>
                  <w:szCs w:val="21"/>
                </w:rPr>
                <w:t>www.chinawealth.com.cn</w:t>
              </w:r>
            </w:hyperlink>
            <w:r>
              <w:rPr>
                <w:rFonts w:ascii="楷体" w:eastAsia="楷体" w:hAnsi="楷体" w:cs="宋体" w:hint="eastAsia"/>
                <w:spacing w:val="-2"/>
                <w:kern w:val="2"/>
                <w:sz w:val="21"/>
                <w:szCs w:val="21"/>
              </w:rPr>
              <w:t>查询产品信息），产品变更前原理财产品登记编码为C1086818000096。</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3"/>
              <w:ind w:left="2"/>
              <w:rPr>
                <w:rFonts w:ascii="楷体" w:eastAsia="楷体" w:hAnsi="楷体" w:cs="宋体"/>
                <w:b/>
                <w:spacing w:val="-2"/>
                <w:kern w:val="2"/>
                <w:sz w:val="21"/>
                <w:szCs w:val="21"/>
              </w:rPr>
            </w:pPr>
            <w:r>
              <w:rPr>
                <w:rFonts w:ascii="楷体" w:eastAsia="楷体" w:hAnsi="楷体" w:cs="宋体" w:hint="eastAsia"/>
                <w:b/>
                <w:spacing w:val="-2"/>
                <w:kern w:val="2"/>
                <w:sz w:val="21"/>
                <w:szCs w:val="21"/>
              </w:rPr>
              <w:t>销售简称/销售代码</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Pr="00776067" w:rsidRDefault="00776067" w:rsidP="00776067">
            <w:pPr>
              <w:pStyle w:val="TableParagraph"/>
              <w:kinsoku w:val="0"/>
              <w:overflowPunct w:val="0"/>
              <w:spacing w:before="12"/>
              <w:ind w:left="3"/>
              <w:rPr>
                <w:rFonts w:ascii="楷体" w:eastAsia="楷体" w:hAnsi="楷体"/>
                <w:spacing w:val="-2"/>
                <w:kern w:val="2"/>
                <w:sz w:val="21"/>
                <w:szCs w:val="21"/>
              </w:rPr>
            </w:pPr>
            <w:r>
              <w:rPr>
                <w:rFonts w:ascii="楷体" w:eastAsia="楷体" w:hAnsi="楷体" w:cs="宋体" w:hint="eastAsia"/>
                <w:spacing w:val="-2"/>
                <w:kern w:val="2"/>
                <w:sz w:val="21"/>
                <w:szCs w:val="21"/>
              </w:rPr>
              <w:t>A份额：苏银理财恒源融达1号6月A/J180409SA86B</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4"/>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产品管理人</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rsidP="00776067">
            <w:pPr>
              <w:pStyle w:val="TableParagraph"/>
              <w:kinsoku w:val="0"/>
              <w:overflowPunct w:val="0"/>
              <w:spacing w:before="12"/>
              <w:ind w:left="3"/>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苏银理财有限责任公司</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3"/>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产品托管人</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rsidP="00776067">
            <w:pPr>
              <w:pStyle w:val="TableParagraph"/>
              <w:kinsoku w:val="0"/>
              <w:overflowPunct w:val="0"/>
              <w:spacing w:before="12"/>
              <w:ind w:left="3"/>
              <w:rPr>
                <w:rFonts w:ascii="楷体" w:eastAsia="楷体" w:hAnsi="楷体" w:cs="宋体"/>
                <w:spacing w:val="-2"/>
                <w:kern w:val="2"/>
                <w:sz w:val="21"/>
                <w:szCs w:val="21"/>
              </w:rPr>
            </w:pPr>
            <w:r>
              <w:rPr>
                <w:rFonts w:ascii="楷体" w:eastAsia="楷体" w:hAnsi="楷体" w:cs="宋体" w:hint="eastAsia"/>
                <w:spacing w:val="-2"/>
                <w:kern w:val="2"/>
                <w:sz w:val="21"/>
                <w:szCs w:val="21"/>
              </w:rPr>
              <w:t>江苏银行股份有限公司</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3"/>
              <w:ind w:left="4"/>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产品内部风险评级</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rsidP="00776067">
            <w:pPr>
              <w:pStyle w:val="TableParagraph"/>
              <w:kinsoku w:val="0"/>
              <w:overflowPunct w:val="0"/>
              <w:spacing w:before="13"/>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kern w:val="2"/>
                <w:sz w:val="21"/>
                <w:szCs w:val="21"/>
                <w:u w:val="single"/>
              </w:rPr>
              <w:t>1、★★二级，</w:t>
            </w:r>
            <w:r>
              <w:rPr>
                <w:rFonts w:ascii="楷体" w:eastAsia="楷体" w:hAnsi="楷体" w:cs="宋体" w:hint="eastAsia"/>
                <w:spacing w:val="-2"/>
                <w:kern w:val="2"/>
                <w:sz w:val="21"/>
                <w:szCs w:val="21"/>
              </w:rPr>
              <w:t>本评级为苏银理财有限责任公司内部评级，由苏银理财根据理财产品的投资组合、同类产品过往业绩和风险状况等因素，对理财产品进行评级，仅供客户参考。</w:t>
            </w:r>
          </w:p>
          <w:p w:rsidR="00776067" w:rsidRDefault="00776067" w:rsidP="00776067">
            <w:pPr>
              <w:pStyle w:val="TableParagraph"/>
              <w:kinsoku w:val="0"/>
              <w:overflowPunct w:val="0"/>
              <w:spacing w:before="13"/>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rsidR="00776067" w:rsidRDefault="00776067">
            <w:pPr>
              <w:pStyle w:val="TableParagraph"/>
              <w:kinsoku w:val="0"/>
              <w:overflowPunct w:val="0"/>
              <w:spacing w:before="13"/>
              <w:ind w:left="18"/>
              <w:rPr>
                <w:rFonts w:ascii="楷体" w:eastAsia="楷体" w:hAnsi="楷体" w:cs="宋体"/>
                <w:b/>
                <w:spacing w:val="-2"/>
                <w:kern w:val="2"/>
                <w:sz w:val="21"/>
                <w:szCs w:val="21"/>
                <w:u w:val="single"/>
              </w:rPr>
            </w:pPr>
            <w:r>
              <w:rPr>
                <w:rFonts w:ascii="楷体" w:eastAsia="楷体" w:hAnsi="楷体" w:cs="宋体" w:hint="eastAsia"/>
                <w:b/>
                <w:spacing w:val="-2"/>
                <w:kern w:val="2"/>
                <w:sz w:val="21"/>
                <w:szCs w:val="21"/>
                <w:u w:val="single"/>
              </w:rPr>
              <w:t>3、如本产品通过代理销售机构渠道销售，理财产品评级以代理销售机构最终披露的评级结果为准。</w:t>
            </w:r>
          </w:p>
          <w:p w:rsidR="00776067" w:rsidRPr="00776067" w:rsidRDefault="00776067" w:rsidP="00776067">
            <w:pPr>
              <w:rPr>
                <w:rFonts w:ascii="仿宋" w:eastAsia="仿宋" w:hAnsi="仿宋"/>
                <w:b/>
                <w:color w:val="FF0000"/>
              </w:rPr>
            </w:pPr>
            <w:r>
              <w:rPr>
                <w:rFonts w:ascii="仿宋" w:eastAsia="仿宋" w:hAnsi="仿宋" w:hint="eastAsia"/>
                <w:b/>
                <w:color w:val="FF0000"/>
              </w:rPr>
              <w:t>4、紫金农商银行对本产品的风险评级为中低风险。</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ind w:left="2"/>
              <w:rPr>
                <w:rFonts w:ascii="楷体" w:eastAsia="楷体" w:hAnsi="楷体" w:cs="宋体"/>
                <w:b/>
                <w:spacing w:val="-2"/>
                <w:kern w:val="2"/>
                <w:sz w:val="21"/>
                <w:szCs w:val="21"/>
              </w:rPr>
            </w:pPr>
            <w:r>
              <w:rPr>
                <w:rFonts w:ascii="楷体" w:eastAsia="楷体" w:hAnsi="楷体" w:cs="宋体" w:hint="eastAsia"/>
                <w:b/>
                <w:spacing w:val="-2"/>
                <w:kern w:val="2"/>
                <w:sz w:val="21"/>
                <w:szCs w:val="21"/>
              </w:rPr>
              <w:t>收益类型</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ind w:left="9"/>
              <w:rPr>
                <w:rFonts w:ascii="楷体" w:eastAsia="楷体" w:hAnsi="楷体" w:cs="宋体"/>
                <w:spacing w:val="-2"/>
                <w:kern w:val="2"/>
                <w:sz w:val="21"/>
                <w:szCs w:val="21"/>
              </w:rPr>
            </w:pPr>
            <w:r>
              <w:rPr>
                <w:rFonts w:ascii="楷体" w:eastAsia="楷体" w:hAnsi="楷体" w:cs="宋体" w:hint="eastAsia"/>
                <w:spacing w:val="-2"/>
                <w:kern w:val="2"/>
                <w:sz w:val="21"/>
                <w:szCs w:val="21"/>
              </w:rPr>
              <w:t>净值型（非保本浮动收益）</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3"/>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产品类型</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ind w:left="9"/>
              <w:rPr>
                <w:rFonts w:ascii="楷体" w:eastAsia="楷体" w:hAnsi="楷体" w:cs="宋体"/>
                <w:b/>
                <w:spacing w:val="-2"/>
                <w:kern w:val="2"/>
                <w:sz w:val="21"/>
                <w:szCs w:val="21"/>
                <w:u w:val="single"/>
              </w:rPr>
            </w:pPr>
            <w:r>
              <w:rPr>
                <w:rFonts w:ascii="楷体" w:eastAsia="楷体" w:hAnsi="楷体" w:cs="宋体" w:hint="eastAsia"/>
                <w:b/>
                <w:spacing w:val="-2"/>
                <w:kern w:val="2"/>
                <w:sz w:val="21"/>
                <w:szCs w:val="21"/>
                <w:u w:val="single"/>
              </w:rPr>
              <w:t>固定收益类、公募、开放式</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3"/>
              <w:rPr>
                <w:rFonts w:ascii="楷体" w:eastAsia="楷体" w:hAnsi="楷体" w:cs="宋体"/>
                <w:b/>
                <w:spacing w:val="-2"/>
                <w:kern w:val="2"/>
                <w:sz w:val="21"/>
                <w:szCs w:val="21"/>
              </w:rPr>
            </w:pPr>
            <w:r>
              <w:rPr>
                <w:rFonts w:ascii="楷体" w:eastAsia="楷体" w:hAnsi="楷体" w:cs="宋体" w:hint="eastAsia"/>
                <w:b/>
                <w:spacing w:val="-2"/>
                <w:kern w:val="2"/>
                <w:sz w:val="21"/>
                <w:szCs w:val="21"/>
              </w:rPr>
              <w:t>销售对象</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rsidP="00776067">
            <w:pPr>
              <w:pStyle w:val="TableParagraph"/>
              <w:kinsoku w:val="0"/>
              <w:overflowPunct w:val="0"/>
              <w:spacing w:before="12"/>
              <w:ind w:left="3"/>
              <w:rPr>
                <w:rFonts w:ascii="楷体" w:eastAsia="楷体" w:hAnsi="楷体" w:cs="宋体"/>
                <w:spacing w:val="-2"/>
                <w:kern w:val="2"/>
                <w:sz w:val="21"/>
                <w:szCs w:val="21"/>
              </w:rPr>
            </w:pPr>
            <w:r>
              <w:rPr>
                <w:rFonts w:ascii="楷体" w:eastAsia="楷体" w:hAnsi="楷体" w:cs="宋体" w:hint="eastAsia"/>
                <w:spacing w:val="-2"/>
                <w:kern w:val="2"/>
                <w:sz w:val="21"/>
                <w:szCs w:val="21"/>
              </w:rPr>
              <w:t>A份额面向个人和机构投资者销售；</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ind w:left="2"/>
              <w:rPr>
                <w:rFonts w:ascii="楷体" w:eastAsia="楷体" w:hAnsi="楷体" w:cs="宋体"/>
                <w:b/>
                <w:spacing w:val="-2"/>
                <w:kern w:val="2"/>
                <w:sz w:val="21"/>
                <w:szCs w:val="21"/>
              </w:rPr>
            </w:pPr>
            <w:r>
              <w:rPr>
                <w:rFonts w:ascii="楷体" w:eastAsia="楷体" w:hAnsi="楷体" w:cs="宋体" w:hint="eastAsia"/>
                <w:b/>
                <w:spacing w:val="-2"/>
                <w:kern w:val="2"/>
                <w:sz w:val="21"/>
                <w:szCs w:val="21"/>
              </w:rPr>
              <w:t>购买起点/追加金额</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rPr>
                <w:rFonts w:ascii="楷体" w:eastAsia="楷体" w:hAnsi="楷体" w:cs="宋体"/>
                <w:spacing w:val="-2"/>
                <w:szCs w:val="21"/>
              </w:rPr>
            </w:pPr>
            <w:r>
              <w:rPr>
                <w:rFonts w:ascii="楷体" w:eastAsia="楷体" w:hAnsi="楷体" w:cs="宋体" w:hint="eastAsia"/>
                <w:spacing w:val="-2"/>
                <w:szCs w:val="21"/>
              </w:rPr>
              <w:t>A份额</w:t>
            </w:r>
            <w:r>
              <w:rPr>
                <w:rFonts w:ascii="楷体" w:eastAsia="楷体" w:hAnsi="楷体" w:hint="eastAsia"/>
                <w:szCs w:val="21"/>
              </w:rPr>
              <w:t>购买起点金额为1元，追加金额为1元的整数倍；</w:t>
            </w:r>
          </w:p>
          <w:p w:rsidR="00776067" w:rsidRDefault="00776067">
            <w:pPr>
              <w:widowControl w:val="0"/>
              <w:rPr>
                <w:rFonts w:ascii="楷体" w:eastAsia="楷体" w:hAnsi="楷体"/>
                <w:kern w:val="2"/>
                <w:sz w:val="21"/>
                <w:szCs w:val="21"/>
              </w:rPr>
            </w:pPr>
            <w:r>
              <w:rPr>
                <w:rFonts w:ascii="楷体" w:eastAsia="楷体" w:hAnsi="楷体" w:hint="eastAsia"/>
                <w:szCs w:val="21"/>
              </w:rPr>
              <w:t>购买起点/追加金额具体以销售机构设置为准。认购资金的清算和认购份额的计算详见产品说明书“八、产品认购”。</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rsidP="00776067">
            <w:pPr>
              <w:pStyle w:val="TableParagraph"/>
              <w:kinsoku w:val="0"/>
              <w:overflowPunct w:val="0"/>
              <w:spacing w:before="13"/>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单一投资者单日累计认购/申购上限</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rsidP="00776067">
            <w:pPr>
              <w:pStyle w:val="TableParagraph"/>
              <w:kinsoku w:val="0"/>
              <w:overflowPunct w:val="0"/>
              <w:spacing w:before="12"/>
              <w:ind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暂无。超过单一投资者单日累计认购/申购上限时，管理人有权拒绝投资者的认购/申购申请。产品存续期内管理人有权根据实际情况调整单日累计认购/申购上限。</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单个客户持有份额上限</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rsidP="00776067">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4"/>
              <w:rPr>
                <w:rFonts w:ascii="楷体" w:eastAsia="楷体" w:hAnsi="楷体" w:cs="宋体"/>
                <w:b/>
                <w:spacing w:val="-2"/>
                <w:kern w:val="2"/>
                <w:sz w:val="21"/>
                <w:szCs w:val="21"/>
              </w:rPr>
            </w:pPr>
            <w:r>
              <w:rPr>
                <w:rFonts w:ascii="楷体" w:eastAsia="楷体" w:hAnsi="楷体" w:cs="宋体" w:hint="eastAsia"/>
                <w:b/>
                <w:spacing w:val="-2"/>
                <w:kern w:val="2"/>
                <w:sz w:val="21"/>
                <w:szCs w:val="21"/>
              </w:rPr>
              <w:t>募集币种</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4"/>
              <w:rPr>
                <w:rFonts w:ascii="楷体" w:eastAsia="楷体" w:hAnsi="楷体" w:cs="宋体"/>
                <w:spacing w:val="-2"/>
                <w:kern w:val="2"/>
                <w:sz w:val="21"/>
                <w:szCs w:val="21"/>
              </w:rPr>
            </w:pPr>
            <w:r>
              <w:rPr>
                <w:rFonts w:ascii="楷体" w:eastAsia="楷体" w:hAnsi="楷体" w:cs="宋体" w:hint="eastAsia"/>
                <w:spacing w:val="-2"/>
                <w:kern w:val="2"/>
                <w:sz w:val="21"/>
                <w:szCs w:val="21"/>
              </w:rPr>
              <w:t>人民币</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3"/>
              <w:ind w:left="2"/>
              <w:rPr>
                <w:rFonts w:ascii="楷体" w:eastAsia="楷体" w:hAnsi="楷体" w:cs="宋体"/>
                <w:spacing w:val="-2"/>
                <w:kern w:val="2"/>
                <w:sz w:val="21"/>
                <w:szCs w:val="21"/>
              </w:rPr>
            </w:pPr>
            <w:r>
              <w:rPr>
                <w:rFonts w:ascii="楷体" w:eastAsia="楷体" w:hAnsi="楷体" w:cs="宋体" w:hint="eastAsia"/>
                <w:b/>
                <w:spacing w:val="-2"/>
                <w:kern w:val="2"/>
                <w:sz w:val="21"/>
                <w:szCs w:val="21"/>
              </w:rPr>
              <w:t>计划发行规模</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ind w:left="3"/>
              <w:rPr>
                <w:rFonts w:ascii="楷体" w:eastAsia="楷体" w:hAnsi="楷体" w:cs="宋体"/>
                <w:spacing w:val="-2"/>
                <w:kern w:val="2"/>
                <w:sz w:val="21"/>
                <w:szCs w:val="21"/>
              </w:rPr>
            </w:pPr>
            <w:r>
              <w:rPr>
                <w:rFonts w:ascii="楷体" w:eastAsia="楷体" w:hAnsi="楷体" w:cs="宋体" w:hint="eastAsia"/>
                <w:spacing w:val="-2"/>
                <w:kern w:val="2"/>
                <w:sz w:val="21"/>
                <w:szCs w:val="21"/>
              </w:rPr>
              <w:t>存续规模上限2330亿元，其中A份额200亿。</w:t>
            </w:r>
          </w:p>
          <w:p w:rsidR="00776067" w:rsidRDefault="00776067">
            <w:pPr>
              <w:pStyle w:val="TableParagraph"/>
              <w:kinsoku w:val="0"/>
              <w:overflowPunct w:val="0"/>
              <w:spacing w:before="12"/>
              <w:ind w:left="3"/>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苏银理财有权根据投资运作情况，调整初始募集规模和存续规模。</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3"/>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份额面值</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rsidP="00776067">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1元/份</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3"/>
              <w:ind w:left="2"/>
              <w:rPr>
                <w:rFonts w:ascii="楷体" w:eastAsia="楷体" w:hAnsi="楷体" w:cs="宋体"/>
                <w:b/>
                <w:spacing w:val="-2"/>
                <w:kern w:val="2"/>
                <w:sz w:val="21"/>
                <w:szCs w:val="21"/>
              </w:rPr>
            </w:pPr>
            <w:r>
              <w:rPr>
                <w:rFonts w:ascii="楷体" w:eastAsia="楷体" w:hAnsi="楷体" w:cs="宋体" w:hint="eastAsia"/>
                <w:b/>
                <w:spacing w:val="-2"/>
                <w:kern w:val="2"/>
                <w:sz w:val="21"/>
                <w:szCs w:val="21"/>
              </w:rPr>
              <w:t>募集期</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rPr>
                <w:rFonts w:ascii="楷体" w:eastAsia="楷体" w:hAnsi="楷体" w:cs="宋体"/>
                <w:spacing w:val="-2"/>
                <w:kern w:val="2"/>
                <w:sz w:val="21"/>
                <w:szCs w:val="21"/>
              </w:rPr>
            </w:pPr>
            <w:r>
              <w:rPr>
                <w:rFonts w:ascii="楷体" w:eastAsia="楷体" w:hAnsi="楷体" w:cs="宋体" w:hint="eastAsia"/>
                <w:spacing w:val="-2"/>
                <w:kern w:val="2"/>
                <w:sz w:val="21"/>
                <w:szCs w:val="21"/>
              </w:rPr>
              <w:t>2018年8月29日9:00到2018年9月3日17:00</w:t>
            </w:r>
          </w:p>
          <w:p w:rsidR="00776067" w:rsidRDefault="00776067">
            <w:pPr>
              <w:pStyle w:val="TableParagraph"/>
              <w:kinsoku w:val="0"/>
              <w:overflowPunct w:val="0"/>
              <w:spacing w:before="12"/>
              <w:rPr>
                <w:rFonts w:ascii="楷体" w:eastAsia="楷体" w:hAnsi="楷体" w:cs="宋体"/>
                <w:spacing w:val="-2"/>
                <w:kern w:val="2"/>
                <w:sz w:val="21"/>
                <w:szCs w:val="21"/>
              </w:rPr>
            </w:pPr>
            <w:r>
              <w:rPr>
                <w:rFonts w:ascii="楷体" w:eastAsia="楷体" w:hAnsi="楷体" w:cs="宋体" w:hint="eastAsia"/>
                <w:spacing w:val="-2"/>
                <w:kern w:val="2"/>
                <w:sz w:val="21"/>
                <w:szCs w:val="21"/>
              </w:rPr>
              <w:t>管理人在法律允许的范围内保留延长或提前终止产品募集期的权利。如</w:t>
            </w:r>
            <w:r>
              <w:rPr>
                <w:rFonts w:ascii="楷体" w:eastAsia="楷体" w:hAnsi="楷体" w:cs="宋体" w:hint="eastAsia"/>
                <w:spacing w:val="-2"/>
                <w:kern w:val="2"/>
                <w:sz w:val="21"/>
                <w:szCs w:val="21"/>
              </w:rPr>
              <w:lastRenderedPageBreak/>
              <w:t>有变动，实际产品募集期以管理人公告或各销售机构设置的募集时间为准。</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ind w:left="2"/>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投资运作起始日</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rPr>
                <w:rFonts w:ascii="楷体" w:eastAsia="楷体" w:hAnsi="楷体" w:cs="宋体"/>
                <w:spacing w:val="-2"/>
                <w:kern w:val="2"/>
                <w:sz w:val="21"/>
                <w:szCs w:val="21"/>
              </w:rPr>
            </w:pPr>
            <w:r>
              <w:rPr>
                <w:rFonts w:ascii="楷体" w:eastAsia="楷体" w:hAnsi="楷体" w:cs="宋体" w:hint="eastAsia"/>
                <w:spacing w:val="-2"/>
                <w:kern w:val="2"/>
                <w:sz w:val="21"/>
                <w:szCs w:val="21"/>
              </w:rPr>
              <w:t>2018年9月4日</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ind w:left="2"/>
              <w:rPr>
                <w:rFonts w:ascii="楷体" w:eastAsia="楷体" w:hAnsi="楷体" w:cs="宋体"/>
                <w:b/>
                <w:spacing w:val="-2"/>
                <w:kern w:val="2"/>
                <w:sz w:val="21"/>
                <w:szCs w:val="21"/>
              </w:rPr>
            </w:pPr>
            <w:r>
              <w:rPr>
                <w:rFonts w:ascii="楷体" w:eastAsia="楷体" w:hAnsi="楷体" w:cs="宋体" w:hint="eastAsia"/>
                <w:b/>
                <w:spacing w:val="-2"/>
                <w:kern w:val="2"/>
                <w:sz w:val="21"/>
                <w:szCs w:val="21"/>
              </w:rPr>
              <w:t>封闭运作期</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rPr>
                <w:rFonts w:ascii="楷体" w:eastAsia="楷体" w:hAnsi="楷体" w:cs="宋体"/>
                <w:spacing w:val="-2"/>
                <w:kern w:val="2"/>
                <w:sz w:val="21"/>
                <w:szCs w:val="21"/>
              </w:rPr>
            </w:pPr>
            <w:r>
              <w:rPr>
                <w:rFonts w:ascii="楷体" w:eastAsia="楷体" w:hAnsi="楷体" w:cs="宋体" w:hint="eastAsia"/>
                <w:spacing w:val="-2"/>
                <w:kern w:val="2"/>
                <w:sz w:val="21"/>
                <w:szCs w:val="21"/>
              </w:rPr>
              <w:t>2018年9月4日，封闭运作期内不可申购/赎回</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ind w:left="2"/>
              <w:rPr>
                <w:rFonts w:ascii="楷体" w:eastAsia="楷体" w:hAnsi="楷体" w:cs="宋体"/>
                <w:b/>
                <w:spacing w:val="-2"/>
                <w:kern w:val="2"/>
                <w:sz w:val="21"/>
                <w:szCs w:val="21"/>
              </w:rPr>
            </w:pPr>
            <w:r>
              <w:rPr>
                <w:rFonts w:ascii="楷体" w:eastAsia="楷体" w:hAnsi="楷体" w:cs="宋体" w:hint="eastAsia"/>
                <w:b/>
                <w:spacing w:val="-2"/>
                <w:kern w:val="2"/>
                <w:sz w:val="21"/>
                <w:szCs w:val="21"/>
              </w:rPr>
              <w:t>开放计划</w:t>
            </w:r>
          </w:p>
        </w:tc>
        <w:tc>
          <w:tcPr>
            <w:tcW w:w="6468" w:type="dxa"/>
            <w:tcBorders>
              <w:top w:val="single" w:sz="4" w:space="0" w:color="auto"/>
              <w:left w:val="single" w:sz="4" w:space="0" w:color="auto"/>
              <w:bottom w:val="single" w:sz="4" w:space="0" w:color="auto"/>
              <w:right w:val="single" w:sz="4" w:space="0" w:color="auto"/>
            </w:tcBorders>
            <w:hideMark/>
          </w:tcPr>
          <w:p w:rsidR="00776067" w:rsidRDefault="00776067">
            <w:pPr>
              <w:pStyle w:val="TableParagraph"/>
              <w:kinsoku w:val="0"/>
              <w:overflowPunct w:val="0"/>
              <w:spacing w:before="12"/>
              <w:ind w:left="2"/>
              <w:rPr>
                <w:rFonts w:ascii="楷体" w:eastAsia="楷体" w:hAnsi="楷体" w:cs="宋体"/>
                <w:spacing w:val="-2"/>
                <w:kern w:val="2"/>
                <w:sz w:val="21"/>
                <w:szCs w:val="21"/>
              </w:rPr>
            </w:pPr>
            <w:r>
              <w:rPr>
                <w:rFonts w:ascii="楷体" w:eastAsia="楷体" w:hAnsi="楷体" w:cs="宋体" w:hint="eastAsia"/>
                <w:spacing w:val="-2"/>
                <w:kern w:val="2"/>
                <w:sz w:val="21"/>
                <w:szCs w:val="21"/>
              </w:rPr>
              <w:t>本产品封闭运作期结束后，自2018年9月5日起按工作日开放申购，苏银理财可根据资产运作情况、节假日、客户需求调整开放频率，并在调整前通过苏银理财官方网站公告。</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rPr>
                <w:rFonts w:ascii="楷体" w:eastAsia="楷体" w:hAnsi="楷体" w:cs="宋体"/>
                <w:b/>
                <w:spacing w:val="-2"/>
                <w:kern w:val="2"/>
                <w:sz w:val="21"/>
                <w:szCs w:val="21"/>
              </w:rPr>
            </w:pPr>
            <w:r>
              <w:rPr>
                <w:rFonts w:ascii="楷体" w:eastAsia="楷体" w:hAnsi="楷体" w:cs="宋体" w:hint="eastAsia"/>
                <w:b/>
                <w:spacing w:val="-2"/>
                <w:kern w:val="2"/>
                <w:sz w:val="21"/>
                <w:szCs w:val="21"/>
              </w:rPr>
              <w:t>工作日</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widowControl w:val="0"/>
              <w:rPr>
                <w:rFonts w:ascii="楷体" w:eastAsia="楷体" w:hAnsi="楷体" w:cs="宋体"/>
                <w:spacing w:val="-2"/>
                <w:sz w:val="21"/>
                <w:szCs w:val="21"/>
              </w:rPr>
            </w:pPr>
            <w:r>
              <w:rPr>
                <w:rFonts w:ascii="楷体" w:eastAsia="楷体" w:hAnsi="楷体" w:cs="宋体" w:hint="eastAsia"/>
                <w:spacing w:val="-2"/>
                <w:szCs w:val="21"/>
              </w:rPr>
              <w:t>本产品所指工作日为上海证券交易所、深圳证券交易所的正常交易日。</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产品申购</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rsidP="00776067">
            <w:pPr>
              <w:ind w:left="59" w:rightChars="21" w:right="46"/>
              <w:rPr>
                <w:rFonts w:ascii="楷体" w:eastAsia="楷体" w:hAnsi="楷体" w:cs="宋体"/>
                <w:spacing w:val="-2"/>
                <w:szCs w:val="21"/>
              </w:rPr>
            </w:pPr>
            <w:r>
              <w:rPr>
                <w:rFonts w:ascii="楷体" w:eastAsia="楷体" w:hAnsi="楷体" w:cs="宋体" w:hint="eastAsia"/>
                <w:spacing w:val="-2"/>
                <w:szCs w:val="21"/>
              </w:rPr>
              <w:t>1、开放预约申购为每周四至下周三（以各销售机构设置的预约期为准），其中周三为产品开放日，投资者在非开放日的预约申购申请行为统一视为在产品开放日提交申购申请。申购截止时间不晚于产品开放日17:00（以各销售机构设置的截止时间为准），开放日截止时间前客户提交的申购申请均可以申请撤单。</w:t>
            </w:r>
          </w:p>
          <w:p w:rsidR="00776067" w:rsidRDefault="00776067" w:rsidP="00776067">
            <w:pPr>
              <w:ind w:left="59" w:rightChars="21" w:right="46"/>
              <w:rPr>
                <w:rFonts w:ascii="楷体" w:eastAsia="楷体" w:hAnsi="楷体" w:cs="宋体"/>
                <w:spacing w:val="-2"/>
                <w:szCs w:val="21"/>
              </w:rPr>
            </w:pPr>
            <w:r>
              <w:rPr>
                <w:rFonts w:ascii="楷体" w:eastAsia="楷体" w:hAnsi="楷体" w:cs="宋体" w:hint="eastAsia"/>
                <w:spacing w:val="-2"/>
                <w:szCs w:val="21"/>
              </w:rPr>
              <w:t>2、每周四为份额确认日，开放日受理的申购申请由管理人统一在周四予以确认。</w:t>
            </w:r>
          </w:p>
          <w:p w:rsidR="00776067" w:rsidRDefault="00776067">
            <w:pPr>
              <w:widowControl w:val="0"/>
              <w:rPr>
                <w:rFonts w:ascii="楷体" w:eastAsia="楷体" w:hAnsi="楷体" w:cs="宋体"/>
                <w:spacing w:val="-2"/>
                <w:sz w:val="21"/>
                <w:szCs w:val="21"/>
              </w:rPr>
            </w:pPr>
            <w:r>
              <w:rPr>
                <w:rFonts w:ascii="楷体" w:eastAsia="楷体" w:hAnsi="楷体" w:cs="宋体" w:hint="eastAsia"/>
                <w:spacing w:val="-2"/>
                <w:szCs w:val="21"/>
              </w:rPr>
              <w:t>3、</w:t>
            </w:r>
            <w:r>
              <w:rPr>
                <w:rFonts w:ascii="楷体" w:eastAsia="楷体" w:hAnsi="楷体" w:cs="宋体" w:hint="eastAsia"/>
                <w:b/>
                <w:spacing w:val="-2"/>
                <w:szCs w:val="21"/>
                <w:u w:val="single"/>
              </w:rPr>
              <w:t>若周三或周四为非工作日，则开放日和确认日作相应调整，苏银理财将按说明书约定的信息披露方式予以披露，以相关披露内容为准。其他时间苏银理财不接受客户申购申请。</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rPr>
                <w:rFonts w:ascii="楷体" w:eastAsia="楷体" w:hAnsi="楷体" w:cs="宋体"/>
                <w:b/>
                <w:spacing w:val="-2"/>
                <w:kern w:val="2"/>
                <w:sz w:val="21"/>
                <w:szCs w:val="21"/>
              </w:rPr>
            </w:pPr>
            <w:r>
              <w:rPr>
                <w:rFonts w:ascii="楷体" w:eastAsia="楷体" w:hAnsi="楷体" w:cs="宋体" w:hint="eastAsia"/>
                <w:b/>
                <w:spacing w:val="-2"/>
                <w:kern w:val="2"/>
                <w:sz w:val="21"/>
                <w:szCs w:val="21"/>
              </w:rPr>
              <w:t>巨额申购</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widowControl w:val="0"/>
              <w:rPr>
                <w:rFonts w:ascii="楷体" w:eastAsia="楷体" w:hAnsi="楷体" w:cs="宋体"/>
                <w:spacing w:val="-2"/>
                <w:sz w:val="21"/>
                <w:szCs w:val="21"/>
              </w:rPr>
            </w:pPr>
            <w:r>
              <w:rPr>
                <w:rFonts w:ascii="楷体" w:eastAsia="楷体" w:hAnsi="楷体" w:cs="宋体" w:hint="eastAsia"/>
                <w:spacing w:val="-2"/>
                <w:szCs w:val="21"/>
              </w:rPr>
              <w:t>产品单个开放日净申购申请折算产品份额超过上一日产品总份额20%时，即认为发生了巨额申购。当出现巨额申购时，产品管理人有权拒绝客户的全部或部分申购申请。</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ind w:left="2"/>
              <w:rPr>
                <w:rFonts w:ascii="楷体" w:eastAsia="楷体" w:hAnsi="楷体" w:cs="宋体"/>
                <w:b/>
                <w:spacing w:val="-2"/>
                <w:kern w:val="2"/>
                <w:sz w:val="21"/>
                <w:szCs w:val="21"/>
              </w:rPr>
            </w:pPr>
            <w:r>
              <w:rPr>
                <w:rFonts w:ascii="楷体" w:eastAsia="楷体" w:hAnsi="楷体" w:cs="宋体" w:hint="eastAsia"/>
                <w:b/>
                <w:spacing w:val="-2"/>
                <w:kern w:val="2"/>
                <w:sz w:val="21"/>
                <w:szCs w:val="21"/>
              </w:rPr>
              <w:t>产品赎回</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widowControl w:val="0"/>
              <w:rPr>
                <w:rFonts w:ascii="楷体" w:eastAsia="楷体" w:hAnsi="楷体" w:cs="宋体"/>
                <w:spacing w:val="-2"/>
                <w:sz w:val="21"/>
                <w:szCs w:val="21"/>
              </w:rPr>
            </w:pPr>
            <w:r>
              <w:rPr>
                <w:rFonts w:ascii="楷体" w:eastAsia="楷体" w:hAnsi="楷体" w:cs="宋体" w:hint="eastAsia"/>
                <w:spacing w:val="-2"/>
                <w:szCs w:val="21"/>
              </w:rPr>
              <w:t>仅自动赎回。本产品以182天为1个投资周期，客户份额持有时间达到182天，系统自动发起赎回。</w:t>
            </w:r>
            <w:r>
              <w:rPr>
                <w:rFonts w:ascii="楷体" w:eastAsia="楷体" w:hAnsi="楷体" w:cs="宋体" w:hint="eastAsia"/>
                <w:b/>
                <w:spacing w:val="-2"/>
                <w:szCs w:val="21"/>
                <w:u w:val="single"/>
              </w:rPr>
              <w:t>在未按约定运作满足够天数前客户无权提前赎回份额。如份额确认日对应的182天为非工作日，管理人将对自动赎回日进行动态调整，以管理人的公告和系统设置为准，在此情况情形下投资周期可能会略长于或短于182天</w:t>
            </w:r>
            <w:r>
              <w:rPr>
                <w:rFonts w:ascii="楷体" w:eastAsia="楷体" w:hAnsi="楷体" w:cs="宋体" w:hint="eastAsia"/>
                <w:spacing w:val="-2"/>
                <w:szCs w:val="21"/>
              </w:rPr>
              <w:t>。</w:t>
            </w:r>
            <w:r>
              <w:rPr>
                <w:rFonts w:ascii="楷体" w:eastAsia="楷体" w:hAnsi="楷体" w:cs="宋体" w:hint="eastAsia"/>
                <w:b/>
                <w:spacing w:val="-2"/>
                <w:szCs w:val="21"/>
                <w:u w:val="single"/>
              </w:rPr>
              <w:t>苏银理财将提前进行公告，客户可根据自身需要自主选择购买</w:t>
            </w:r>
            <w:r>
              <w:rPr>
                <w:rFonts w:ascii="楷体" w:eastAsia="楷体" w:hAnsi="楷体" w:cs="宋体" w:hint="eastAsia"/>
                <w:spacing w:val="-2"/>
                <w:szCs w:val="21"/>
              </w:rPr>
              <w:t>。自动赎回时按实际赎回日前一工作日产品单位净值计算客户赎回兑付金额，自动赎回不受巨额赎回限制。</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ind w:left="2"/>
              <w:rPr>
                <w:rFonts w:ascii="楷体" w:eastAsia="楷体" w:hAnsi="楷体" w:cs="宋体"/>
                <w:spacing w:val="-2"/>
                <w:kern w:val="2"/>
                <w:sz w:val="21"/>
                <w:szCs w:val="21"/>
              </w:rPr>
            </w:pPr>
            <w:r>
              <w:rPr>
                <w:rFonts w:ascii="楷体" w:eastAsia="楷体" w:hAnsi="楷体" w:cs="宋体" w:hint="eastAsia"/>
                <w:b/>
                <w:spacing w:val="-2"/>
                <w:kern w:val="2"/>
                <w:sz w:val="21"/>
                <w:szCs w:val="21"/>
              </w:rPr>
              <w:t>认购/申购资金的清算</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rPr>
                <w:rFonts w:ascii="楷体" w:eastAsia="楷体" w:hAnsi="楷体" w:cs="宋体"/>
                <w:spacing w:val="-2"/>
                <w:szCs w:val="21"/>
              </w:rPr>
            </w:pPr>
            <w:r>
              <w:rPr>
                <w:rFonts w:ascii="楷体" w:eastAsia="楷体" w:hAnsi="楷体" w:cs="宋体" w:hint="eastAsia"/>
                <w:spacing w:val="-2"/>
                <w:szCs w:val="21"/>
              </w:rPr>
              <w:t>1、投资者提出认购/申购申请后，投资者认购/申购资金将会冻结在投资者资金账户上。冻结期间资金利息根据《理财产品（代理）销售协议书》相关条款确定。</w:t>
            </w:r>
          </w:p>
          <w:p w:rsidR="00776067" w:rsidRDefault="00776067">
            <w:pPr>
              <w:widowControl w:val="0"/>
              <w:rPr>
                <w:rFonts w:ascii="楷体" w:eastAsia="楷体" w:hAnsi="楷体" w:cs="宋体"/>
                <w:spacing w:val="-2"/>
                <w:sz w:val="21"/>
                <w:szCs w:val="21"/>
              </w:rPr>
            </w:pPr>
            <w:r>
              <w:rPr>
                <w:rFonts w:ascii="楷体" w:eastAsia="楷体" w:hAnsi="楷体" w:cs="宋体" w:hint="eastAsia"/>
                <w:spacing w:val="-2"/>
                <w:szCs w:val="21"/>
              </w:rPr>
              <w:t>2、管理人在份额确认日通知销售机构扣划投资者认购/申购资金，投资者应在扣款前保证资金账户中拥有足够可用余额。因投资者资金账户余额不足、司法冻结、不可抗力因素或其他不可归责于苏银理财和销售机构的事由出现，造成扣款失败，认购/申购申请未被确认的，苏银理财和销售机构不承担任何责任。</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ind w:left="2"/>
              <w:rPr>
                <w:rFonts w:ascii="楷体" w:eastAsia="楷体" w:hAnsi="楷体" w:cs="宋体"/>
                <w:b/>
                <w:spacing w:val="-2"/>
                <w:kern w:val="2"/>
                <w:sz w:val="21"/>
                <w:szCs w:val="21"/>
              </w:rPr>
            </w:pPr>
            <w:r>
              <w:rPr>
                <w:rFonts w:ascii="楷体" w:eastAsia="楷体" w:hAnsi="楷体" w:cs="宋体" w:hint="eastAsia"/>
                <w:b/>
                <w:spacing w:val="-2"/>
                <w:kern w:val="2"/>
                <w:sz w:val="21"/>
                <w:szCs w:val="21"/>
              </w:rPr>
              <w:t>认购/申购份额的计算</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rPr>
                <w:rFonts w:ascii="楷体" w:eastAsia="楷体" w:hAnsi="楷体" w:cs="宋体"/>
                <w:spacing w:val="-2"/>
                <w:kern w:val="2"/>
                <w:sz w:val="21"/>
                <w:szCs w:val="21"/>
              </w:rPr>
            </w:pPr>
            <w:r>
              <w:rPr>
                <w:rFonts w:ascii="楷体" w:eastAsia="楷体" w:hAnsi="楷体" w:cs="宋体" w:hint="eastAsia"/>
                <w:spacing w:val="-2"/>
                <w:kern w:val="2"/>
                <w:sz w:val="21"/>
                <w:szCs w:val="21"/>
              </w:rPr>
              <w:t>详见产品说明书“十、产品运作”</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ind w:left="2"/>
              <w:rPr>
                <w:rFonts w:ascii="楷体" w:eastAsia="楷体" w:hAnsi="楷体" w:cs="宋体"/>
                <w:b/>
                <w:spacing w:val="-2"/>
                <w:kern w:val="2"/>
                <w:sz w:val="21"/>
                <w:szCs w:val="21"/>
              </w:rPr>
            </w:pPr>
            <w:r>
              <w:rPr>
                <w:rFonts w:ascii="楷体" w:eastAsia="楷体" w:hAnsi="楷体" w:cs="宋体" w:hint="eastAsia"/>
                <w:b/>
                <w:spacing w:val="-2"/>
                <w:kern w:val="2"/>
                <w:sz w:val="21"/>
                <w:szCs w:val="21"/>
              </w:rPr>
              <w:t>赎回资金的清算</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rPr>
                <w:rFonts w:ascii="楷体" w:eastAsia="楷体" w:hAnsi="楷体" w:cs="宋体"/>
                <w:spacing w:val="-2"/>
                <w:kern w:val="2"/>
                <w:sz w:val="21"/>
                <w:szCs w:val="21"/>
              </w:rPr>
            </w:pPr>
            <w:r>
              <w:rPr>
                <w:rFonts w:ascii="楷体" w:eastAsia="楷体" w:hAnsi="楷体" w:cs="宋体" w:hint="eastAsia"/>
                <w:spacing w:val="-2"/>
                <w:kern w:val="2"/>
                <w:sz w:val="21"/>
                <w:szCs w:val="21"/>
              </w:rPr>
              <w:t>投资者赎回资金将在赎回申请确认日后2个工作日内到达投资者资金账户。</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ind w:left="2"/>
              <w:rPr>
                <w:rFonts w:ascii="楷体" w:eastAsia="楷体" w:hAnsi="楷体" w:cs="宋体"/>
                <w:b/>
                <w:spacing w:val="-2"/>
                <w:kern w:val="2"/>
                <w:sz w:val="21"/>
                <w:szCs w:val="21"/>
              </w:rPr>
            </w:pPr>
            <w:r>
              <w:rPr>
                <w:rFonts w:ascii="楷体" w:eastAsia="楷体" w:hAnsi="楷体" w:cs="宋体" w:hint="eastAsia"/>
                <w:b/>
                <w:spacing w:val="-2"/>
                <w:kern w:val="2"/>
                <w:sz w:val="21"/>
                <w:szCs w:val="21"/>
              </w:rPr>
              <w:t>赎回金额的计算</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rPr>
                <w:rFonts w:ascii="楷体" w:eastAsia="楷体" w:hAnsi="楷体" w:cs="宋体"/>
                <w:spacing w:val="-2"/>
                <w:kern w:val="2"/>
                <w:sz w:val="21"/>
                <w:szCs w:val="21"/>
              </w:rPr>
            </w:pPr>
            <w:r>
              <w:rPr>
                <w:rFonts w:ascii="楷体" w:eastAsia="楷体" w:hAnsi="楷体" w:cs="宋体" w:hint="eastAsia"/>
                <w:b/>
                <w:bCs/>
                <w:spacing w:val="-2"/>
                <w:kern w:val="2"/>
                <w:sz w:val="21"/>
                <w:szCs w:val="21"/>
                <w:u w:val="single"/>
              </w:rPr>
              <w:t>投资者持仓份额的产品净值可能含有未收取的浮动管理费和超额业绩</w:t>
            </w:r>
            <w:r>
              <w:rPr>
                <w:rFonts w:ascii="楷体" w:eastAsia="楷体" w:hAnsi="楷体" w:cs="宋体" w:hint="eastAsia"/>
                <w:b/>
                <w:bCs/>
                <w:spacing w:val="-2"/>
                <w:kern w:val="2"/>
                <w:sz w:val="21"/>
                <w:szCs w:val="21"/>
                <w:u w:val="single"/>
              </w:rPr>
              <w:lastRenderedPageBreak/>
              <w:t>报酬，自动赎回兑付金额以实际入账金额为准。</w:t>
            </w:r>
            <w:r>
              <w:rPr>
                <w:rFonts w:ascii="楷体" w:eastAsia="楷体" w:hAnsi="楷体" w:cs="宋体" w:hint="eastAsia"/>
                <w:spacing w:val="-2"/>
                <w:kern w:val="2"/>
                <w:sz w:val="21"/>
                <w:szCs w:val="21"/>
              </w:rPr>
              <w:t>详见产品说明书“十、产品运作”</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ind w:left="2"/>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终止日</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rPr>
                <w:rFonts w:ascii="楷体" w:eastAsia="楷体" w:hAnsi="楷体" w:cs="宋体"/>
                <w:spacing w:val="-2"/>
                <w:kern w:val="2"/>
                <w:sz w:val="21"/>
                <w:szCs w:val="21"/>
              </w:rPr>
            </w:pPr>
            <w:r>
              <w:rPr>
                <w:rFonts w:ascii="楷体" w:eastAsia="楷体" w:hAnsi="楷体" w:cs="宋体" w:hint="eastAsia"/>
                <w:spacing w:val="-2"/>
                <w:kern w:val="2"/>
                <w:sz w:val="21"/>
                <w:szCs w:val="21"/>
              </w:rPr>
              <w:t>2038年9月3日（如遇节假日，顺延至下一工作日）</w:t>
            </w:r>
          </w:p>
          <w:p w:rsidR="00776067" w:rsidRDefault="00776067">
            <w:pPr>
              <w:pStyle w:val="TableParagraph"/>
              <w:rPr>
                <w:rFonts w:ascii="楷体" w:eastAsia="楷体" w:hAnsi="楷体" w:cs="宋体"/>
                <w:spacing w:val="-2"/>
                <w:kern w:val="2"/>
                <w:sz w:val="21"/>
                <w:szCs w:val="21"/>
              </w:rPr>
            </w:pPr>
            <w:r>
              <w:rPr>
                <w:rFonts w:ascii="楷体" w:eastAsia="楷体" w:hAnsi="楷体" w:cs="宋体" w:hint="eastAsia"/>
                <w:spacing w:val="-2"/>
                <w:kern w:val="2"/>
                <w:sz w:val="21"/>
                <w:szCs w:val="21"/>
              </w:rPr>
              <w:t>在符合本理财产品说明书约定的条件下，管理人有权提前终止该产品，产品到期日受制于提前终止条款。详见产品说明书“十一、产品的终止与清算”</w:t>
            </w:r>
          </w:p>
        </w:tc>
      </w:tr>
      <w:tr w:rsidR="00776067" w:rsidTr="00776067">
        <w:trPr>
          <w:trHeight w:val="1136"/>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8"/>
              <w:ind w:left="4"/>
              <w:rPr>
                <w:rFonts w:ascii="楷体" w:eastAsia="楷体" w:hAnsi="楷体" w:cs="宋体"/>
                <w:b/>
                <w:spacing w:val="-2"/>
                <w:kern w:val="2"/>
                <w:sz w:val="21"/>
                <w:szCs w:val="21"/>
              </w:rPr>
            </w:pPr>
            <w:r>
              <w:rPr>
                <w:rFonts w:ascii="楷体" w:eastAsia="楷体" w:hAnsi="楷体" w:cs="宋体" w:hint="eastAsia"/>
                <w:b/>
                <w:spacing w:val="-2"/>
                <w:kern w:val="2"/>
                <w:sz w:val="21"/>
                <w:szCs w:val="21"/>
              </w:rPr>
              <w:t>业绩比较基准（</w:t>
            </w:r>
            <w:r>
              <w:rPr>
                <w:rFonts w:ascii="楷体" w:eastAsia="楷体" w:hAnsi="楷体" w:cs="宋体" w:hint="eastAsia"/>
                <w:spacing w:val="-2"/>
                <w:kern w:val="2"/>
                <w:szCs w:val="21"/>
              </w:rPr>
              <w:t>R）</w:t>
            </w:r>
          </w:p>
          <w:p w:rsidR="00776067" w:rsidRDefault="00776067">
            <w:pPr>
              <w:pStyle w:val="TableParagraph"/>
              <w:kinsoku w:val="0"/>
              <w:overflowPunct w:val="0"/>
              <w:spacing w:before="18"/>
              <w:ind w:left="4"/>
              <w:rPr>
                <w:rFonts w:ascii="楷体" w:eastAsia="楷体" w:hAnsi="楷体" w:cs="宋体"/>
                <w:b/>
                <w:spacing w:val="-2"/>
                <w:kern w:val="2"/>
                <w:sz w:val="21"/>
                <w:szCs w:val="21"/>
              </w:rPr>
            </w:pPr>
            <w:r>
              <w:rPr>
                <w:rFonts w:ascii="楷体" w:eastAsia="楷体" w:hAnsi="楷体" w:cs="宋体" w:hint="eastAsia"/>
                <w:b/>
                <w:spacing w:val="-2"/>
                <w:kern w:val="2"/>
                <w:sz w:val="21"/>
                <w:szCs w:val="21"/>
              </w:rPr>
              <w:t>（年化）</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2"/>
              <w:ind w:left="3"/>
              <w:rPr>
                <w:rFonts w:ascii="楷体" w:eastAsia="楷体" w:hAnsi="楷体" w:cs="宋体"/>
                <w:spacing w:val="-2"/>
                <w:kern w:val="2"/>
                <w:sz w:val="21"/>
                <w:szCs w:val="21"/>
              </w:rPr>
            </w:pPr>
            <w:r>
              <w:rPr>
                <w:rFonts w:ascii="楷体" w:eastAsia="楷体" w:hAnsi="楷体" w:cs="宋体" w:hint="eastAsia"/>
                <w:spacing w:val="-2"/>
                <w:kern w:val="2"/>
                <w:sz w:val="21"/>
                <w:szCs w:val="21"/>
              </w:rPr>
              <w:t>A份额：2.75%</w:t>
            </w:r>
          </w:p>
          <w:p w:rsidR="00776067" w:rsidRDefault="00776067">
            <w:pPr>
              <w:pStyle w:val="TableParagraph"/>
              <w:spacing w:before="37" w:line="271" w:lineRule="auto"/>
              <w:ind w:left="103" w:right="103"/>
              <w:rPr>
                <w:rFonts w:ascii="楷体" w:eastAsia="楷体" w:hAnsi="楷体" w:cs="宋体"/>
                <w:spacing w:val="-2"/>
                <w:kern w:val="2"/>
                <w:sz w:val="21"/>
                <w:szCs w:val="21"/>
              </w:rPr>
            </w:pPr>
            <w:r>
              <w:rPr>
                <w:rFonts w:ascii="楷体" w:eastAsia="楷体" w:hAnsi="楷体" w:cs="宋体" w:hint="eastAsia"/>
                <w:b/>
                <w:spacing w:val="-2"/>
                <w:kern w:val="2"/>
                <w:sz w:val="21"/>
                <w:szCs w:val="21"/>
                <w:u w:val="single"/>
              </w:rPr>
              <w:t>产品存续期内管理人有权根据产品投资运作情况、市场情况调整业绩比较基准，并至少于调整前2个工作日发布调整公告，如有调整以管理人公告为准。调整后的产品业绩比较基准适用于新确认份额，为管理人新设定的投资目标。</w:t>
            </w:r>
          </w:p>
          <w:p w:rsidR="00776067" w:rsidRDefault="00776067">
            <w:pPr>
              <w:pStyle w:val="TableParagraph"/>
              <w:spacing w:before="37" w:line="271" w:lineRule="auto"/>
              <w:ind w:left="103" w:right="103"/>
              <w:rPr>
                <w:rFonts w:ascii="楷体" w:eastAsia="楷体" w:hAnsi="楷体" w:cs="宋体"/>
                <w:spacing w:val="-2"/>
                <w:kern w:val="2"/>
                <w:sz w:val="21"/>
                <w:szCs w:val="21"/>
              </w:rPr>
            </w:pPr>
            <w:r>
              <w:rPr>
                <w:rFonts w:ascii="楷体" w:eastAsia="楷体" w:hAnsi="楷体" w:cs="宋体" w:hint="eastAsia"/>
                <w:spacing w:val="-2"/>
                <w:kern w:val="2"/>
                <w:sz w:val="21"/>
                <w:szCs w:val="21"/>
              </w:rPr>
              <w:t>（管理人参考过往投资经验，依据近期货币市场工具、债券等资产投资收益水平，在产品说明书约定的投资范围和投资比例内，综合考虑各份额收取的费用情况，模拟测算得出业绩比较基准。）</w:t>
            </w:r>
          </w:p>
          <w:p w:rsidR="00776067" w:rsidRDefault="00776067">
            <w:pPr>
              <w:pStyle w:val="TableParagraph"/>
              <w:kinsoku w:val="0"/>
              <w:overflowPunct w:val="0"/>
              <w:spacing w:before="37" w:line="271" w:lineRule="auto"/>
              <w:ind w:right="103"/>
              <w:rPr>
                <w:rFonts w:ascii="楷体" w:eastAsia="楷体" w:hAnsi="楷体" w:cs="宋体"/>
                <w:spacing w:val="-2"/>
                <w:kern w:val="2"/>
                <w:sz w:val="21"/>
                <w:szCs w:val="21"/>
              </w:rPr>
            </w:pPr>
            <w:r>
              <w:rPr>
                <w:rFonts w:ascii="楷体" w:eastAsia="楷体" w:hAnsi="楷体" w:cs="宋体" w:hint="eastAsia"/>
                <w:b/>
                <w:spacing w:val="-2"/>
                <w:kern w:val="2"/>
                <w:sz w:val="21"/>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rsidR="00776067" w:rsidTr="00776067">
        <w:trP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pStyle w:val="TableParagraph"/>
              <w:kinsoku w:val="0"/>
              <w:overflowPunct w:val="0"/>
              <w:spacing w:before="18"/>
              <w:ind w:left="4"/>
              <w:rPr>
                <w:rFonts w:ascii="楷体" w:eastAsia="楷体" w:hAnsi="楷体" w:cs="宋体"/>
                <w:spacing w:val="-2"/>
                <w:kern w:val="2"/>
                <w:sz w:val="21"/>
                <w:szCs w:val="21"/>
              </w:rPr>
            </w:pPr>
            <w:r>
              <w:rPr>
                <w:rFonts w:ascii="楷体" w:eastAsia="楷体" w:hAnsi="楷体" w:cs="宋体" w:hint="eastAsia"/>
                <w:b/>
                <w:spacing w:val="-2"/>
                <w:kern w:val="2"/>
                <w:sz w:val="21"/>
                <w:szCs w:val="21"/>
              </w:rPr>
              <w:t>产品费用</w:t>
            </w:r>
          </w:p>
        </w:tc>
        <w:tc>
          <w:tcPr>
            <w:tcW w:w="6468" w:type="dxa"/>
            <w:tcBorders>
              <w:top w:val="single" w:sz="4" w:space="0" w:color="auto"/>
              <w:left w:val="single" w:sz="4" w:space="0" w:color="auto"/>
              <w:bottom w:val="single" w:sz="4" w:space="0" w:color="auto"/>
              <w:right w:val="single" w:sz="4" w:space="0" w:color="auto"/>
            </w:tcBorders>
            <w:vAlign w:val="center"/>
            <w:hideMark/>
          </w:tcPr>
          <w:p w:rsidR="00776067" w:rsidRDefault="00776067">
            <w:pPr>
              <w:rPr>
                <w:rFonts w:ascii="楷体" w:eastAsia="楷体" w:hAnsi="楷体" w:cs="宋体"/>
                <w:spacing w:val="-2"/>
                <w:szCs w:val="21"/>
              </w:rPr>
            </w:pPr>
            <w:r>
              <w:rPr>
                <w:rFonts w:ascii="楷体" w:eastAsia="楷体" w:hAnsi="楷体" w:cs="宋体" w:hint="eastAsia"/>
                <w:spacing w:val="-2"/>
                <w:szCs w:val="21"/>
              </w:rPr>
              <w:t>本产品费用包括托管费、销售服务费、投资管理费、浮动管理费和超额业绩报酬（若有）以及产品运作和清算中产生的其他费用等。</w:t>
            </w:r>
          </w:p>
          <w:p w:rsidR="00776067" w:rsidRDefault="00776067" w:rsidP="00776067">
            <w:pPr>
              <w:ind w:rightChars="55" w:right="121"/>
              <w:rPr>
                <w:rFonts w:ascii="楷体" w:eastAsia="楷体" w:hAnsi="楷体" w:cs="宋体"/>
                <w:spacing w:val="-2"/>
                <w:szCs w:val="21"/>
              </w:rPr>
            </w:pPr>
            <w:r>
              <w:rPr>
                <w:rFonts w:ascii="楷体" w:eastAsia="楷体" w:hAnsi="楷体" w:cs="宋体" w:hint="eastAsia"/>
                <w:spacing w:val="-2"/>
                <w:szCs w:val="21"/>
              </w:rPr>
              <w:t>1．托管费率：0.02%/年；</w:t>
            </w:r>
          </w:p>
          <w:p w:rsidR="00776067" w:rsidRDefault="00776067" w:rsidP="00776067">
            <w:pPr>
              <w:ind w:rightChars="55" w:right="121"/>
              <w:rPr>
                <w:rFonts w:ascii="楷体" w:eastAsia="楷体" w:hAnsi="楷体" w:cs="宋体"/>
                <w:spacing w:val="-2"/>
                <w:szCs w:val="21"/>
              </w:rPr>
            </w:pPr>
            <w:r>
              <w:rPr>
                <w:rFonts w:ascii="楷体" w:eastAsia="楷体" w:hAnsi="楷体" w:cs="宋体" w:hint="eastAsia"/>
                <w:spacing w:val="-2"/>
                <w:szCs w:val="21"/>
              </w:rPr>
              <w:t>2．销售服务费率：A份额为0.20%/年；</w:t>
            </w:r>
          </w:p>
          <w:p w:rsidR="00776067" w:rsidRDefault="00776067" w:rsidP="00776067">
            <w:pPr>
              <w:ind w:rightChars="55" w:right="121"/>
              <w:rPr>
                <w:rFonts w:ascii="楷体" w:eastAsia="楷体" w:hAnsi="楷体" w:cs="宋体"/>
                <w:spacing w:val="-2"/>
                <w:szCs w:val="21"/>
              </w:rPr>
            </w:pPr>
            <w:r>
              <w:rPr>
                <w:rFonts w:ascii="楷体" w:eastAsia="楷体" w:hAnsi="楷体" w:cs="宋体" w:hint="eastAsia"/>
                <w:spacing w:val="-2"/>
                <w:szCs w:val="21"/>
              </w:rPr>
              <w:t>3．投资管理费率：0.50%/年。</w:t>
            </w:r>
          </w:p>
          <w:p w:rsidR="00776067" w:rsidRDefault="00776067" w:rsidP="00776067">
            <w:pPr>
              <w:ind w:rightChars="55" w:right="121"/>
              <w:rPr>
                <w:rFonts w:ascii="楷体" w:eastAsia="楷体" w:hAnsi="楷体" w:cs="宋体"/>
                <w:spacing w:val="-2"/>
                <w:szCs w:val="21"/>
              </w:rPr>
            </w:pPr>
            <w:r>
              <w:rPr>
                <w:rFonts w:ascii="楷体" w:eastAsia="楷体" w:hAnsi="楷体" w:cs="宋体" w:hint="eastAsia"/>
                <w:spacing w:val="-2"/>
                <w:szCs w:val="21"/>
              </w:rPr>
              <w:t>4. 超额业绩报酬比例：在客户份额持有期间净值增长率达到下述“浮动管理费中情形1”时，管理人可收取20%超额业绩报酬，详见产品说明书。</w:t>
            </w:r>
          </w:p>
          <w:p w:rsidR="00776067" w:rsidRDefault="00776067">
            <w:pPr>
              <w:rPr>
                <w:rFonts w:ascii="宋体" w:eastAsia="楷体" w:hAnsi="宋体" w:cs="Times New Roman"/>
                <w:sz w:val="18"/>
                <w:szCs w:val="20"/>
              </w:rPr>
            </w:pPr>
            <w:r>
              <w:rPr>
                <w:rFonts w:ascii="楷体" w:eastAsia="楷体" w:hAnsi="楷体" w:cs="宋体" w:hint="eastAsia"/>
                <w:spacing w:val="-2"/>
                <w:szCs w:val="21"/>
              </w:rPr>
              <w:t>5. 浮动管理费（I）：1.5%/年，浮动管理费的收取需要视客户份额持有期间净值增长率（r)以及业绩比较基准（R）而定，在客户份额赎回时根据实际情况支取。客户份额持有期间净值增长率（r)依据份额确认时产品单位净值、份额赎回时产品单位净值、客户份额实际运作天数折算为年化收益率（1年按365天计算）。</w:t>
            </w:r>
          </w:p>
          <w:p w:rsidR="00776067" w:rsidRDefault="00776067" w:rsidP="00776067">
            <w:pPr>
              <w:ind w:rightChars="55" w:right="121"/>
              <w:rPr>
                <w:rFonts w:ascii="楷体" w:eastAsia="楷体" w:hAnsi="楷体" w:cs="宋体"/>
                <w:spacing w:val="-2"/>
                <w:sz w:val="21"/>
                <w:szCs w:val="21"/>
              </w:rPr>
            </w:pPr>
            <w:r>
              <w:rPr>
                <w:rFonts w:ascii="楷体" w:eastAsia="楷体" w:hAnsi="楷体" w:cs="宋体" w:hint="eastAsia"/>
                <w:spacing w:val="-2"/>
                <w:szCs w:val="21"/>
              </w:rPr>
              <w:t>存在以下四种情形：</w:t>
            </w:r>
          </w:p>
          <w:p w:rsidR="00776067" w:rsidRDefault="00776067" w:rsidP="00776067">
            <w:pPr>
              <w:ind w:rightChars="55" w:right="121"/>
              <w:rPr>
                <w:rFonts w:ascii="楷体" w:eastAsia="楷体" w:hAnsi="楷体" w:cs="宋体"/>
                <w:spacing w:val="-2"/>
                <w:szCs w:val="21"/>
              </w:rPr>
            </w:pPr>
            <w:r>
              <w:rPr>
                <w:rFonts w:ascii="楷体" w:eastAsia="楷体" w:hAnsi="楷体" w:cs="宋体" w:hint="eastAsia"/>
                <w:spacing w:val="-2"/>
                <w:szCs w:val="21"/>
              </w:rPr>
              <w:t>情形1：r&gt;R+I,则管理人实际收取浮动管理费率为I，并收取（r-R-I)*20%作为超额业绩报酬，客户的实际收益率为R+（r-R-I)*80%。</w:t>
            </w:r>
          </w:p>
          <w:p w:rsidR="00776067" w:rsidRDefault="00776067" w:rsidP="00776067">
            <w:pPr>
              <w:ind w:rightChars="55" w:right="121"/>
              <w:rPr>
                <w:rFonts w:ascii="楷体" w:eastAsia="楷体" w:hAnsi="楷体" w:cs="宋体"/>
                <w:spacing w:val="-2"/>
                <w:szCs w:val="21"/>
              </w:rPr>
            </w:pPr>
            <w:r>
              <w:rPr>
                <w:rFonts w:ascii="楷体" w:eastAsia="楷体" w:hAnsi="楷体" w:cs="宋体" w:hint="eastAsia"/>
                <w:spacing w:val="-2"/>
                <w:szCs w:val="21"/>
              </w:rPr>
              <w:t>情形2：R≤r≤R+I,则管理人实际收取浮动管理费率为r-R，客户的实际收益率为R。</w:t>
            </w:r>
          </w:p>
          <w:p w:rsidR="00776067" w:rsidRDefault="00776067" w:rsidP="00776067">
            <w:pPr>
              <w:ind w:rightChars="55" w:right="121"/>
              <w:rPr>
                <w:rFonts w:ascii="楷体" w:eastAsia="楷体" w:hAnsi="楷体" w:cs="宋体"/>
                <w:spacing w:val="-2"/>
                <w:szCs w:val="21"/>
              </w:rPr>
            </w:pPr>
            <w:r>
              <w:rPr>
                <w:rFonts w:ascii="楷体" w:eastAsia="楷体" w:hAnsi="楷体" w:cs="宋体" w:hint="eastAsia"/>
                <w:spacing w:val="-2"/>
                <w:szCs w:val="21"/>
              </w:rPr>
              <w:t>情形3：0〈r〈R,则客户按赎回日净值兑付，客户实际收益为 r，</w:t>
            </w:r>
            <w:r>
              <w:rPr>
                <w:rFonts w:ascii="楷体" w:eastAsia="楷体" w:hAnsi="楷体" w:cs="宋体" w:hint="eastAsia"/>
                <w:spacing w:val="-2"/>
                <w:szCs w:val="21"/>
              </w:rPr>
              <w:lastRenderedPageBreak/>
              <w:t>管理人无浮动管理费。</w:t>
            </w:r>
          </w:p>
          <w:p w:rsidR="00776067" w:rsidRDefault="00776067" w:rsidP="00776067">
            <w:pPr>
              <w:ind w:rightChars="55" w:right="121"/>
              <w:rPr>
                <w:rFonts w:ascii="楷体" w:eastAsia="楷体" w:hAnsi="楷体" w:cs="宋体"/>
                <w:spacing w:val="-2"/>
                <w:szCs w:val="21"/>
              </w:rPr>
            </w:pPr>
            <w:r>
              <w:rPr>
                <w:rFonts w:ascii="楷体" w:eastAsia="楷体" w:hAnsi="楷体" w:cs="宋体" w:hint="eastAsia"/>
                <w:spacing w:val="-2"/>
                <w:szCs w:val="21"/>
              </w:rPr>
              <w:t>情形4：r〈0，则客户按赎回日净值兑付，客户投资本金发生亏损，无收益，管理人无浮动管理费，在最不利于情形下，客户可能损失全部本金。</w:t>
            </w:r>
          </w:p>
          <w:p w:rsidR="00776067" w:rsidRDefault="00776067" w:rsidP="00776067">
            <w:pPr>
              <w:widowControl w:val="0"/>
              <w:ind w:rightChars="55" w:right="121"/>
              <w:jc w:val="both"/>
              <w:rPr>
                <w:rFonts w:ascii="楷体" w:eastAsia="楷体" w:hAnsi="楷体"/>
                <w:kern w:val="2"/>
                <w:sz w:val="24"/>
                <w:szCs w:val="24"/>
              </w:rPr>
            </w:pPr>
            <w:r>
              <w:rPr>
                <w:rFonts w:ascii="楷体" w:eastAsia="楷体" w:hAnsi="楷体" w:cs="宋体" w:hint="eastAsia"/>
                <w:spacing w:val="-2"/>
                <w:szCs w:val="21"/>
              </w:rPr>
              <w:t>产品存续期内，若市场情况发生重大变化，或因维护本产品正常运作需要等情形，苏银理财可对产品费用进行调整，管理人将提前2个工作日通过苏银理财有限责任公司官方网站（www.suyinwealth.com）以及销售机构进行公告。</w:t>
            </w:r>
          </w:p>
        </w:tc>
      </w:tr>
    </w:tbl>
    <w:p w:rsidR="00F34A59" w:rsidRDefault="009A057A">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lastRenderedPageBreak/>
        <w:t>（更多具体要素请详阅产品说明书）</w:t>
      </w:r>
    </w:p>
    <w:p w:rsidR="00F34A59" w:rsidRDefault="009A057A">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F34A59" w:rsidRDefault="009A057A">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F34A59" w:rsidRDefault="009A057A">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F34A59" w:rsidRDefault="009A057A">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3.如有其他未尽事宜以私人银行部解释为准。</w:t>
      </w:r>
    </w:p>
    <w:p w:rsidR="00F34A59" w:rsidRDefault="00F34A59">
      <w:pPr>
        <w:adjustRightInd/>
        <w:snapToGrid/>
        <w:spacing w:after="0"/>
        <w:rPr>
          <w:rFonts w:ascii="微软雅黑" w:hAnsi="微软雅黑" w:cs="宋体"/>
          <w:color w:val="000000"/>
          <w:sz w:val="30"/>
          <w:szCs w:val="30"/>
        </w:rPr>
      </w:pPr>
    </w:p>
    <w:p w:rsidR="00F34A59" w:rsidRDefault="009A057A">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附件：1.“苏银理财</w:t>
      </w:r>
      <w:r w:rsidR="00776067">
        <w:rPr>
          <w:rFonts w:ascii="仿宋_GB2312" w:eastAsia="仿宋_GB2312" w:hAnsi="微软雅黑" w:cs="宋体" w:hint="eastAsia"/>
          <w:color w:val="000000"/>
          <w:sz w:val="32"/>
          <w:szCs w:val="32"/>
        </w:rPr>
        <w:t>恒源融达1号</w:t>
      </w:r>
      <w:r>
        <w:rPr>
          <w:rFonts w:ascii="仿宋_GB2312" w:eastAsia="仿宋_GB2312" w:hAnsi="微软雅黑" w:cs="宋体" w:hint="eastAsia"/>
          <w:color w:val="000000"/>
          <w:sz w:val="32"/>
          <w:szCs w:val="32"/>
        </w:rPr>
        <w:t>”理财产品说明书</w:t>
      </w:r>
    </w:p>
    <w:p w:rsidR="00F34A59" w:rsidRDefault="009A057A">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 理财产品</w:t>
      </w:r>
      <w:r w:rsidR="00776067">
        <w:rPr>
          <w:rFonts w:ascii="仿宋_GB2312" w:eastAsia="仿宋_GB2312" w:hAnsi="微软雅黑" w:cs="宋体" w:hint="eastAsia"/>
          <w:color w:val="000000"/>
          <w:sz w:val="32"/>
          <w:szCs w:val="32"/>
        </w:rPr>
        <w:t>(</w:t>
      </w:r>
      <w:r>
        <w:rPr>
          <w:rFonts w:ascii="仿宋_GB2312" w:eastAsia="仿宋_GB2312" w:hAnsi="微软雅黑" w:cs="宋体" w:hint="eastAsia"/>
          <w:color w:val="000000"/>
          <w:sz w:val="32"/>
          <w:szCs w:val="32"/>
        </w:rPr>
        <w:t>代理</w:t>
      </w:r>
      <w:r w:rsidR="00776067">
        <w:rPr>
          <w:rFonts w:ascii="仿宋_GB2312" w:eastAsia="仿宋_GB2312" w:hAnsi="微软雅黑" w:cs="宋体" w:hint="eastAsia"/>
          <w:color w:val="000000"/>
          <w:sz w:val="32"/>
          <w:szCs w:val="32"/>
        </w:rPr>
        <w:t>)</w:t>
      </w:r>
      <w:r>
        <w:rPr>
          <w:rFonts w:ascii="仿宋_GB2312" w:eastAsia="仿宋_GB2312" w:hAnsi="微软雅黑" w:cs="宋体" w:hint="eastAsia"/>
          <w:color w:val="000000"/>
          <w:sz w:val="32"/>
          <w:szCs w:val="32"/>
        </w:rPr>
        <w:t>销售协议书、苏银理财有限责任公司理财产品投资协议书</w:t>
      </w:r>
    </w:p>
    <w:p w:rsidR="00F34A59" w:rsidRDefault="009A057A">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3.“苏银理财</w:t>
      </w:r>
      <w:r w:rsidR="00776067">
        <w:rPr>
          <w:rFonts w:ascii="仿宋_GB2312" w:eastAsia="仿宋_GB2312" w:hAnsi="微软雅黑" w:cs="宋体" w:hint="eastAsia"/>
          <w:color w:val="000000"/>
          <w:sz w:val="32"/>
          <w:szCs w:val="32"/>
        </w:rPr>
        <w:t>恒源融达1号</w:t>
      </w:r>
      <w:r>
        <w:rPr>
          <w:rFonts w:ascii="仿宋_GB2312" w:eastAsia="仿宋_GB2312" w:hAnsi="微软雅黑" w:cs="宋体" w:hint="eastAsia"/>
          <w:color w:val="000000"/>
          <w:sz w:val="32"/>
          <w:szCs w:val="32"/>
        </w:rPr>
        <w:t>”理财产品风险揭示书</w:t>
      </w:r>
    </w:p>
    <w:p w:rsidR="00F34A59" w:rsidRDefault="009A057A">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4.苏银理财有限责任公司投资者权益须知</w:t>
      </w:r>
    </w:p>
    <w:p w:rsidR="00F34A59" w:rsidRDefault="009A057A">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5. 个人客户风险承受能力评估表</w:t>
      </w:r>
    </w:p>
    <w:p w:rsidR="00F34A59" w:rsidRDefault="009A057A">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6. 机构客户风险承受能力评估表</w:t>
      </w:r>
    </w:p>
    <w:p w:rsidR="00F34A59" w:rsidRDefault="00F34A59">
      <w:pPr>
        <w:adjustRightInd/>
        <w:snapToGrid/>
        <w:spacing w:after="0"/>
        <w:ind w:firstLine="645"/>
        <w:rPr>
          <w:rFonts w:ascii="微软雅黑" w:hAnsi="微软雅黑" w:cs="宋体"/>
          <w:color w:val="000000"/>
          <w:sz w:val="30"/>
          <w:szCs w:val="30"/>
        </w:rPr>
      </w:pPr>
    </w:p>
    <w:p w:rsidR="00F34A59" w:rsidRDefault="00F34A59">
      <w:pPr>
        <w:adjustRightInd/>
        <w:snapToGrid/>
        <w:spacing w:after="0"/>
        <w:ind w:firstLine="5760"/>
        <w:rPr>
          <w:rFonts w:ascii="仿宋_GB2312" w:eastAsia="仿宋_GB2312" w:hAnsi="微软雅黑" w:cs="宋体"/>
          <w:color w:val="000000"/>
          <w:sz w:val="32"/>
          <w:szCs w:val="32"/>
        </w:rPr>
      </w:pPr>
    </w:p>
    <w:p w:rsidR="00F34A59" w:rsidRDefault="00F34A59">
      <w:pPr>
        <w:adjustRightInd/>
        <w:snapToGrid/>
        <w:spacing w:after="0"/>
        <w:ind w:firstLine="5760"/>
        <w:rPr>
          <w:rFonts w:ascii="仿宋_GB2312" w:eastAsia="仿宋_GB2312" w:hAnsi="微软雅黑" w:cs="宋体"/>
          <w:color w:val="000000"/>
          <w:sz w:val="32"/>
          <w:szCs w:val="32"/>
        </w:rPr>
      </w:pPr>
    </w:p>
    <w:p w:rsidR="00F34A59" w:rsidRDefault="009A057A">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F34A59" w:rsidRDefault="009A057A">
      <w:pPr>
        <w:adjustRightInd/>
        <w:snapToGrid/>
        <w:spacing w:after="0"/>
        <w:ind w:firstLine="5445"/>
      </w:pPr>
      <w:r>
        <w:rPr>
          <w:rFonts w:ascii="仿宋_GB2312" w:eastAsia="仿宋_GB2312" w:hAnsi="微软雅黑" w:cs="宋体" w:hint="eastAsia"/>
          <w:color w:val="000000"/>
          <w:sz w:val="32"/>
          <w:szCs w:val="32"/>
        </w:rPr>
        <w:t>2025年</w:t>
      </w:r>
      <w:r w:rsidR="00B305FC">
        <w:rPr>
          <w:rFonts w:ascii="仿宋_GB2312" w:eastAsia="仿宋_GB2312" w:hAnsi="微软雅黑" w:cs="宋体" w:hint="eastAsia"/>
          <w:color w:val="000000"/>
          <w:sz w:val="32"/>
          <w:szCs w:val="32"/>
        </w:rPr>
        <w:t>2</w:t>
      </w:r>
      <w:r>
        <w:rPr>
          <w:rFonts w:ascii="仿宋_GB2312" w:eastAsia="仿宋_GB2312" w:hAnsi="微软雅黑" w:cs="宋体" w:hint="eastAsia"/>
          <w:color w:val="000000"/>
          <w:sz w:val="32"/>
          <w:szCs w:val="32"/>
        </w:rPr>
        <w:t>月</w:t>
      </w:r>
      <w:r w:rsidR="00B305FC">
        <w:rPr>
          <w:rFonts w:ascii="仿宋_GB2312" w:eastAsia="仿宋_GB2312" w:hAnsi="微软雅黑" w:cs="宋体" w:hint="eastAsia"/>
          <w:color w:val="000000"/>
          <w:sz w:val="32"/>
          <w:szCs w:val="32"/>
        </w:rPr>
        <w:t>8</w:t>
      </w:r>
      <w:r>
        <w:rPr>
          <w:rFonts w:ascii="仿宋_GB2312" w:eastAsia="仿宋_GB2312" w:hAnsi="微软雅黑" w:cs="宋体" w:hint="eastAsia"/>
          <w:color w:val="000000"/>
          <w:sz w:val="32"/>
          <w:szCs w:val="32"/>
        </w:rPr>
        <w:t>日</w:t>
      </w:r>
    </w:p>
    <w:sectPr w:rsidR="00F34A59" w:rsidSect="00F34A5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3B8C" w:rsidRDefault="00B13B8C" w:rsidP="00F34A59">
      <w:pPr>
        <w:spacing w:after="0"/>
      </w:pPr>
      <w:r>
        <w:separator/>
      </w:r>
    </w:p>
  </w:endnote>
  <w:endnote w:type="continuationSeparator" w:id="1">
    <w:p w:rsidR="00B13B8C" w:rsidRDefault="00B13B8C" w:rsidP="00F34A5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3B8C" w:rsidRDefault="00B13B8C">
      <w:pPr>
        <w:spacing w:after="0"/>
      </w:pPr>
      <w:r>
        <w:separator/>
      </w:r>
    </w:p>
  </w:footnote>
  <w:footnote w:type="continuationSeparator" w:id="1">
    <w:p w:rsidR="00B13B8C" w:rsidRDefault="00B13B8C">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footnotePr>
    <w:footnote w:id="0"/>
    <w:footnote w:id="1"/>
  </w:footnotePr>
  <w:endnotePr>
    <w:endnote w:id="0"/>
    <w:endnote w:id="1"/>
  </w:endnotePr>
  <w:compat>
    <w:useFELayout/>
  </w:compat>
  <w:rsids>
    <w:rsidRoot w:val="00D31D50"/>
    <w:rsid w:val="00002A13"/>
    <w:rsid w:val="00014D89"/>
    <w:rsid w:val="0002233E"/>
    <w:rsid w:val="00025736"/>
    <w:rsid w:val="00030E86"/>
    <w:rsid w:val="00036368"/>
    <w:rsid w:val="0003731F"/>
    <w:rsid w:val="000430CA"/>
    <w:rsid w:val="00050465"/>
    <w:rsid w:val="000547BB"/>
    <w:rsid w:val="000618D3"/>
    <w:rsid w:val="0006322B"/>
    <w:rsid w:val="0006327A"/>
    <w:rsid w:val="000729EB"/>
    <w:rsid w:val="00074AD2"/>
    <w:rsid w:val="000812F4"/>
    <w:rsid w:val="000910E1"/>
    <w:rsid w:val="000936F7"/>
    <w:rsid w:val="00095294"/>
    <w:rsid w:val="000957AC"/>
    <w:rsid w:val="000A5028"/>
    <w:rsid w:val="000A7695"/>
    <w:rsid w:val="000B5C2A"/>
    <w:rsid w:val="000D30E3"/>
    <w:rsid w:val="000D3348"/>
    <w:rsid w:val="000E18A2"/>
    <w:rsid w:val="000E1FA9"/>
    <w:rsid w:val="000E7543"/>
    <w:rsid w:val="000F4049"/>
    <w:rsid w:val="0010440D"/>
    <w:rsid w:val="00110B5C"/>
    <w:rsid w:val="0011188B"/>
    <w:rsid w:val="00113224"/>
    <w:rsid w:val="001157D7"/>
    <w:rsid w:val="001225F8"/>
    <w:rsid w:val="00134BE7"/>
    <w:rsid w:val="0014766F"/>
    <w:rsid w:val="00152D94"/>
    <w:rsid w:val="00156217"/>
    <w:rsid w:val="00157799"/>
    <w:rsid w:val="0016069B"/>
    <w:rsid w:val="00160908"/>
    <w:rsid w:val="00170032"/>
    <w:rsid w:val="00174CF3"/>
    <w:rsid w:val="00174FC8"/>
    <w:rsid w:val="001810F6"/>
    <w:rsid w:val="00182785"/>
    <w:rsid w:val="001834DB"/>
    <w:rsid w:val="00190048"/>
    <w:rsid w:val="00194C32"/>
    <w:rsid w:val="00196E1B"/>
    <w:rsid w:val="001A32AD"/>
    <w:rsid w:val="001A556D"/>
    <w:rsid w:val="001B2273"/>
    <w:rsid w:val="001B26D8"/>
    <w:rsid w:val="001D3092"/>
    <w:rsid w:val="001D40A6"/>
    <w:rsid w:val="001F3153"/>
    <w:rsid w:val="001F72B5"/>
    <w:rsid w:val="00201E20"/>
    <w:rsid w:val="00206F8F"/>
    <w:rsid w:val="00207F97"/>
    <w:rsid w:val="00214CF7"/>
    <w:rsid w:val="00216E71"/>
    <w:rsid w:val="002235BC"/>
    <w:rsid w:val="00233CED"/>
    <w:rsid w:val="00236FDA"/>
    <w:rsid w:val="00244EE2"/>
    <w:rsid w:val="002463C9"/>
    <w:rsid w:val="002513BD"/>
    <w:rsid w:val="00257856"/>
    <w:rsid w:val="00277323"/>
    <w:rsid w:val="002777A1"/>
    <w:rsid w:val="00283408"/>
    <w:rsid w:val="0028525D"/>
    <w:rsid w:val="002866F6"/>
    <w:rsid w:val="0029028F"/>
    <w:rsid w:val="002A2C83"/>
    <w:rsid w:val="002A3E43"/>
    <w:rsid w:val="002B1948"/>
    <w:rsid w:val="002B6618"/>
    <w:rsid w:val="002C122F"/>
    <w:rsid w:val="002C248B"/>
    <w:rsid w:val="002C70E5"/>
    <w:rsid w:val="002D757D"/>
    <w:rsid w:val="002D7671"/>
    <w:rsid w:val="002E2A41"/>
    <w:rsid w:val="002E3ECB"/>
    <w:rsid w:val="002E7145"/>
    <w:rsid w:val="002F00B3"/>
    <w:rsid w:val="002F02FE"/>
    <w:rsid w:val="002F07C0"/>
    <w:rsid w:val="003059D5"/>
    <w:rsid w:val="00307AFA"/>
    <w:rsid w:val="00320D56"/>
    <w:rsid w:val="00322F4C"/>
    <w:rsid w:val="00323B43"/>
    <w:rsid w:val="00335FBE"/>
    <w:rsid w:val="003447B3"/>
    <w:rsid w:val="00347193"/>
    <w:rsid w:val="003476A4"/>
    <w:rsid w:val="00353BA9"/>
    <w:rsid w:val="00355E21"/>
    <w:rsid w:val="00357EB7"/>
    <w:rsid w:val="00361A72"/>
    <w:rsid w:val="00363805"/>
    <w:rsid w:val="00374AE2"/>
    <w:rsid w:val="00386CE1"/>
    <w:rsid w:val="00393219"/>
    <w:rsid w:val="003936A4"/>
    <w:rsid w:val="003936B9"/>
    <w:rsid w:val="003A15E6"/>
    <w:rsid w:val="003C0D6B"/>
    <w:rsid w:val="003C1D41"/>
    <w:rsid w:val="003C2C03"/>
    <w:rsid w:val="003D37D8"/>
    <w:rsid w:val="003D4715"/>
    <w:rsid w:val="003D710A"/>
    <w:rsid w:val="003E2BFC"/>
    <w:rsid w:val="003E5A9F"/>
    <w:rsid w:val="003F70AB"/>
    <w:rsid w:val="00410A33"/>
    <w:rsid w:val="00422AD1"/>
    <w:rsid w:val="00424A38"/>
    <w:rsid w:val="00426133"/>
    <w:rsid w:val="004349C0"/>
    <w:rsid w:val="004358AB"/>
    <w:rsid w:val="00443E90"/>
    <w:rsid w:val="00450005"/>
    <w:rsid w:val="00450C77"/>
    <w:rsid w:val="0045680A"/>
    <w:rsid w:val="00463028"/>
    <w:rsid w:val="00471A3B"/>
    <w:rsid w:val="004749F0"/>
    <w:rsid w:val="00476C3B"/>
    <w:rsid w:val="0047785F"/>
    <w:rsid w:val="0049140E"/>
    <w:rsid w:val="00496E4F"/>
    <w:rsid w:val="004B4CFA"/>
    <w:rsid w:val="004C175A"/>
    <w:rsid w:val="004C7CF2"/>
    <w:rsid w:val="004F0CCD"/>
    <w:rsid w:val="00510995"/>
    <w:rsid w:val="005168C5"/>
    <w:rsid w:val="005218F6"/>
    <w:rsid w:val="00523BDD"/>
    <w:rsid w:val="0052515C"/>
    <w:rsid w:val="00530F2D"/>
    <w:rsid w:val="0053663D"/>
    <w:rsid w:val="00536DF2"/>
    <w:rsid w:val="00537BF8"/>
    <w:rsid w:val="00540DC7"/>
    <w:rsid w:val="00543584"/>
    <w:rsid w:val="00543782"/>
    <w:rsid w:val="0055369F"/>
    <w:rsid w:val="0055709E"/>
    <w:rsid w:val="00566993"/>
    <w:rsid w:val="00566C07"/>
    <w:rsid w:val="00570005"/>
    <w:rsid w:val="005873AF"/>
    <w:rsid w:val="005A6CFB"/>
    <w:rsid w:val="005A7A21"/>
    <w:rsid w:val="005B1774"/>
    <w:rsid w:val="005B45CF"/>
    <w:rsid w:val="005B496B"/>
    <w:rsid w:val="005C0D21"/>
    <w:rsid w:val="005C155D"/>
    <w:rsid w:val="005C31E9"/>
    <w:rsid w:val="005C4206"/>
    <w:rsid w:val="005C5781"/>
    <w:rsid w:val="005D072F"/>
    <w:rsid w:val="005D0DEE"/>
    <w:rsid w:val="005F2B78"/>
    <w:rsid w:val="00606205"/>
    <w:rsid w:val="00607358"/>
    <w:rsid w:val="00607EC0"/>
    <w:rsid w:val="00610019"/>
    <w:rsid w:val="006110FC"/>
    <w:rsid w:val="00611544"/>
    <w:rsid w:val="006128D5"/>
    <w:rsid w:val="006148C9"/>
    <w:rsid w:val="0061606F"/>
    <w:rsid w:val="00620A17"/>
    <w:rsid w:val="006214F4"/>
    <w:rsid w:val="006648D9"/>
    <w:rsid w:val="00677D5A"/>
    <w:rsid w:val="006919F0"/>
    <w:rsid w:val="006A1D72"/>
    <w:rsid w:val="006A48A0"/>
    <w:rsid w:val="006C44CC"/>
    <w:rsid w:val="006E08D8"/>
    <w:rsid w:val="006F04BE"/>
    <w:rsid w:val="006F7856"/>
    <w:rsid w:val="00701C74"/>
    <w:rsid w:val="0070239F"/>
    <w:rsid w:val="00702508"/>
    <w:rsid w:val="007121C4"/>
    <w:rsid w:val="00714B02"/>
    <w:rsid w:val="007248B8"/>
    <w:rsid w:val="00727337"/>
    <w:rsid w:val="0073205A"/>
    <w:rsid w:val="00732B85"/>
    <w:rsid w:val="00740E8C"/>
    <w:rsid w:val="00741563"/>
    <w:rsid w:val="007471D4"/>
    <w:rsid w:val="00747E0A"/>
    <w:rsid w:val="00750298"/>
    <w:rsid w:val="00761130"/>
    <w:rsid w:val="007673F5"/>
    <w:rsid w:val="007675CD"/>
    <w:rsid w:val="007745AD"/>
    <w:rsid w:val="00776067"/>
    <w:rsid w:val="00783419"/>
    <w:rsid w:val="00785657"/>
    <w:rsid w:val="007865C9"/>
    <w:rsid w:val="007873F2"/>
    <w:rsid w:val="00793A91"/>
    <w:rsid w:val="00796629"/>
    <w:rsid w:val="007A6260"/>
    <w:rsid w:val="007C416B"/>
    <w:rsid w:val="007C44C4"/>
    <w:rsid w:val="007D0528"/>
    <w:rsid w:val="007D35F2"/>
    <w:rsid w:val="007D3BB9"/>
    <w:rsid w:val="007D6855"/>
    <w:rsid w:val="00817F98"/>
    <w:rsid w:val="008201C5"/>
    <w:rsid w:val="00827FB9"/>
    <w:rsid w:val="008445DB"/>
    <w:rsid w:val="008450A8"/>
    <w:rsid w:val="008507C0"/>
    <w:rsid w:val="0085497C"/>
    <w:rsid w:val="00854BCB"/>
    <w:rsid w:val="0086092D"/>
    <w:rsid w:val="00862981"/>
    <w:rsid w:val="00867E9B"/>
    <w:rsid w:val="00884835"/>
    <w:rsid w:val="008930CD"/>
    <w:rsid w:val="00893277"/>
    <w:rsid w:val="00894AA0"/>
    <w:rsid w:val="00895EEF"/>
    <w:rsid w:val="00896D1C"/>
    <w:rsid w:val="008972C8"/>
    <w:rsid w:val="00897920"/>
    <w:rsid w:val="008A6AC1"/>
    <w:rsid w:val="008B008A"/>
    <w:rsid w:val="008B4334"/>
    <w:rsid w:val="008B450C"/>
    <w:rsid w:val="008B4E39"/>
    <w:rsid w:val="008B6523"/>
    <w:rsid w:val="008B7726"/>
    <w:rsid w:val="008C49E6"/>
    <w:rsid w:val="008D4402"/>
    <w:rsid w:val="008F2B7A"/>
    <w:rsid w:val="008F3B9E"/>
    <w:rsid w:val="008F7CA5"/>
    <w:rsid w:val="00903E35"/>
    <w:rsid w:val="00906053"/>
    <w:rsid w:val="00911DE1"/>
    <w:rsid w:val="00916AFD"/>
    <w:rsid w:val="0094064E"/>
    <w:rsid w:val="00951BFC"/>
    <w:rsid w:val="00953E58"/>
    <w:rsid w:val="00954AA4"/>
    <w:rsid w:val="0096633A"/>
    <w:rsid w:val="0096677C"/>
    <w:rsid w:val="00971266"/>
    <w:rsid w:val="00975280"/>
    <w:rsid w:val="00986A17"/>
    <w:rsid w:val="00986ED0"/>
    <w:rsid w:val="00996AC4"/>
    <w:rsid w:val="009A057A"/>
    <w:rsid w:val="009A5FF7"/>
    <w:rsid w:val="009A6871"/>
    <w:rsid w:val="009B21F1"/>
    <w:rsid w:val="009B2786"/>
    <w:rsid w:val="009B2C38"/>
    <w:rsid w:val="009D1D85"/>
    <w:rsid w:val="009D5A75"/>
    <w:rsid w:val="009E16F2"/>
    <w:rsid w:val="009E18E4"/>
    <w:rsid w:val="009F7C7A"/>
    <w:rsid w:val="00A01DF4"/>
    <w:rsid w:val="00A215C9"/>
    <w:rsid w:val="00A30CF8"/>
    <w:rsid w:val="00A4169B"/>
    <w:rsid w:val="00A54155"/>
    <w:rsid w:val="00A65280"/>
    <w:rsid w:val="00A6775F"/>
    <w:rsid w:val="00A7707D"/>
    <w:rsid w:val="00A838DC"/>
    <w:rsid w:val="00A84AE0"/>
    <w:rsid w:val="00A90D0C"/>
    <w:rsid w:val="00A9135E"/>
    <w:rsid w:val="00A9294C"/>
    <w:rsid w:val="00AA23FA"/>
    <w:rsid w:val="00AB14BA"/>
    <w:rsid w:val="00AB4B2F"/>
    <w:rsid w:val="00AB6BA4"/>
    <w:rsid w:val="00AC33B2"/>
    <w:rsid w:val="00AC6774"/>
    <w:rsid w:val="00AD4C9C"/>
    <w:rsid w:val="00AE0AF2"/>
    <w:rsid w:val="00AE42D4"/>
    <w:rsid w:val="00AE6487"/>
    <w:rsid w:val="00B01B88"/>
    <w:rsid w:val="00B02F94"/>
    <w:rsid w:val="00B126A7"/>
    <w:rsid w:val="00B13B8C"/>
    <w:rsid w:val="00B17CEE"/>
    <w:rsid w:val="00B20784"/>
    <w:rsid w:val="00B21220"/>
    <w:rsid w:val="00B22801"/>
    <w:rsid w:val="00B24A4C"/>
    <w:rsid w:val="00B252B4"/>
    <w:rsid w:val="00B27E33"/>
    <w:rsid w:val="00B305FC"/>
    <w:rsid w:val="00B33E38"/>
    <w:rsid w:val="00B4326E"/>
    <w:rsid w:val="00B73A10"/>
    <w:rsid w:val="00B86723"/>
    <w:rsid w:val="00B941A3"/>
    <w:rsid w:val="00B941AB"/>
    <w:rsid w:val="00B974A9"/>
    <w:rsid w:val="00BA2412"/>
    <w:rsid w:val="00BA7C4A"/>
    <w:rsid w:val="00BB0278"/>
    <w:rsid w:val="00BB554B"/>
    <w:rsid w:val="00BF73F3"/>
    <w:rsid w:val="00C00041"/>
    <w:rsid w:val="00C0423C"/>
    <w:rsid w:val="00C07A9F"/>
    <w:rsid w:val="00C15704"/>
    <w:rsid w:val="00C17395"/>
    <w:rsid w:val="00C23A87"/>
    <w:rsid w:val="00C344A1"/>
    <w:rsid w:val="00C468C3"/>
    <w:rsid w:val="00C50931"/>
    <w:rsid w:val="00C60359"/>
    <w:rsid w:val="00C61324"/>
    <w:rsid w:val="00C63EDB"/>
    <w:rsid w:val="00C66A8C"/>
    <w:rsid w:val="00C71423"/>
    <w:rsid w:val="00C77D66"/>
    <w:rsid w:val="00C849D4"/>
    <w:rsid w:val="00C858B2"/>
    <w:rsid w:val="00CA5843"/>
    <w:rsid w:val="00CA70DD"/>
    <w:rsid w:val="00CB16FF"/>
    <w:rsid w:val="00CB29BA"/>
    <w:rsid w:val="00CB2A01"/>
    <w:rsid w:val="00CB39C9"/>
    <w:rsid w:val="00CD21BA"/>
    <w:rsid w:val="00CD328F"/>
    <w:rsid w:val="00CD4295"/>
    <w:rsid w:val="00CD4F0F"/>
    <w:rsid w:val="00CD5295"/>
    <w:rsid w:val="00CD74BD"/>
    <w:rsid w:val="00CE0BFB"/>
    <w:rsid w:val="00CE0C36"/>
    <w:rsid w:val="00CE2CE5"/>
    <w:rsid w:val="00CF5224"/>
    <w:rsid w:val="00D0319E"/>
    <w:rsid w:val="00D10241"/>
    <w:rsid w:val="00D11BD4"/>
    <w:rsid w:val="00D30D95"/>
    <w:rsid w:val="00D31D50"/>
    <w:rsid w:val="00D33751"/>
    <w:rsid w:val="00D34922"/>
    <w:rsid w:val="00D35072"/>
    <w:rsid w:val="00D3536D"/>
    <w:rsid w:val="00D37D23"/>
    <w:rsid w:val="00D42DFD"/>
    <w:rsid w:val="00D4593C"/>
    <w:rsid w:val="00D476F9"/>
    <w:rsid w:val="00D51249"/>
    <w:rsid w:val="00D5218E"/>
    <w:rsid w:val="00D5491D"/>
    <w:rsid w:val="00D54FDC"/>
    <w:rsid w:val="00D57471"/>
    <w:rsid w:val="00D65F61"/>
    <w:rsid w:val="00D67754"/>
    <w:rsid w:val="00D7627A"/>
    <w:rsid w:val="00D763B7"/>
    <w:rsid w:val="00D8428B"/>
    <w:rsid w:val="00D92419"/>
    <w:rsid w:val="00DA20C2"/>
    <w:rsid w:val="00DA521E"/>
    <w:rsid w:val="00DA6344"/>
    <w:rsid w:val="00DB1998"/>
    <w:rsid w:val="00DB267C"/>
    <w:rsid w:val="00DC08E6"/>
    <w:rsid w:val="00DC09A0"/>
    <w:rsid w:val="00DC1A5A"/>
    <w:rsid w:val="00DC23CA"/>
    <w:rsid w:val="00DD1E41"/>
    <w:rsid w:val="00DD52AA"/>
    <w:rsid w:val="00DE103B"/>
    <w:rsid w:val="00DE145A"/>
    <w:rsid w:val="00DE39B7"/>
    <w:rsid w:val="00DF1569"/>
    <w:rsid w:val="00DF6EDD"/>
    <w:rsid w:val="00DF7361"/>
    <w:rsid w:val="00DF7E82"/>
    <w:rsid w:val="00E05633"/>
    <w:rsid w:val="00E210A0"/>
    <w:rsid w:val="00E328E5"/>
    <w:rsid w:val="00E342C9"/>
    <w:rsid w:val="00E37B32"/>
    <w:rsid w:val="00E42E54"/>
    <w:rsid w:val="00E4437E"/>
    <w:rsid w:val="00E51943"/>
    <w:rsid w:val="00E52C1A"/>
    <w:rsid w:val="00E545D0"/>
    <w:rsid w:val="00E65FB9"/>
    <w:rsid w:val="00E73BDD"/>
    <w:rsid w:val="00E74D03"/>
    <w:rsid w:val="00E773E2"/>
    <w:rsid w:val="00E774C6"/>
    <w:rsid w:val="00E775F8"/>
    <w:rsid w:val="00E807D3"/>
    <w:rsid w:val="00E85118"/>
    <w:rsid w:val="00E85459"/>
    <w:rsid w:val="00E86AD3"/>
    <w:rsid w:val="00EA1489"/>
    <w:rsid w:val="00EA2655"/>
    <w:rsid w:val="00EB3586"/>
    <w:rsid w:val="00EC780B"/>
    <w:rsid w:val="00ED576C"/>
    <w:rsid w:val="00EE0CF8"/>
    <w:rsid w:val="00EE3A96"/>
    <w:rsid w:val="00EE50F7"/>
    <w:rsid w:val="00EF297D"/>
    <w:rsid w:val="00EF76FE"/>
    <w:rsid w:val="00F04234"/>
    <w:rsid w:val="00F047DC"/>
    <w:rsid w:val="00F070F5"/>
    <w:rsid w:val="00F11CB2"/>
    <w:rsid w:val="00F20187"/>
    <w:rsid w:val="00F21AAA"/>
    <w:rsid w:val="00F21F5B"/>
    <w:rsid w:val="00F234C6"/>
    <w:rsid w:val="00F24E77"/>
    <w:rsid w:val="00F24FA8"/>
    <w:rsid w:val="00F34A59"/>
    <w:rsid w:val="00F474DE"/>
    <w:rsid w:val="00F634A7"/>
    <w:rsid w:val="00F7443F"/>
    <w:rsid w:val="00F805F0"/>
    <w:rsid w:val="00F825A1"/>
    <w:rsid w:val="00F9041B"/>
    <w:rsid w:val="00F94E57"/>
    <w:rsid w:val="00F957A8"/>
    <w:rsid w:val="00F96EC9"/>
    <w:rsid w:val="00FA233C"/>
    <w:rsid w:val="00FA5448"/>
    <w:rsid w:val="00FA792A"/>
    <w:rsid w:val="00FB04F3"/>
    <w:rsid w:val="00FB07AF"/>
    <w:rsid w:val="00FB39AB"/>
    <w:rsid w:val="00FC1CBF"/>
    <w:rsid w:val="00FC73A4"/>
    <w:rsid w:val="00FD35EB"/>
    <w:rsid w:val="00FE0475"/>
    <w:rsid w:val="00FF00D9"/>
    <w:rsid w:val="00FF24E9"/>
    <w:rsid w:val="02C17743"/>
    <w:rsid w:val="03AC2408"/>
    <w:rsid w:val="09777728"/>
    <w:rsid w:val="09FF56E8"/>
    <w:rsid w:val="0D061CD4"/>
    <w:rsid w:val="0D0F7A88"/>
    <w:rsid w:val="0D637775"/>
    <w:rsid w:val="11E470A0"/>
    <w:rsid w:val="1302330E"/>
    <w:rsid w:val="15092D84"/>
    <w:rsid w:val="18024DC4"/>
    <w:rsid w:val="19211303"/>
    <w:rsid w:val="1C4E296B"/>
    <w:rsid w:val="1CC77981"/>
    <w:rsid w:val="1CD01DD6"/>
    <w:rsid w:val="1FF27F0A"/>
    <w:rsid w:val="22BD0682"/>
    <w:rsid w:val="259C3DDF"/>
    <w:rsid w:val="281D2B92"/>
    <w:rsid w:val="2F505EBA"/>
    <w:rsid w:val="346D37AA"/>
    <w:rsid w:val="360B4A64"/>
    <w:rsid w:val="37D92952"/>
    <w:rsid w:val="3A7137AE"/>
    <w:rsid w:val="3E7440B0"/>
    <w:rsid w:val="437A0EFD"/>
    <w:rsid w:val="471B4F9C"/>
    <w:rsid w:val="4727670F"/>
    <w:rsid w:val="488B669C"/>
    <w:rsid w:val="498D2846"/>
    <w:rsid w:val="4DC360A2"/>
    <w:rsid w:val="52C1180B"/>
    <w:rsid w:val="53A7561E"/>
    <w:rsid w:val="569A1942"/>
    <w:rsid w:val="573E6F54"/>
    <w:rsid w:val="59526AAF"/>
    <w:rsid w:val="599469F4"/>
    <w:rsid w:val="5D6B5C61"/>
    <w:rsid w:val="5F763953"/>
    <w:rsid w:val="65ED6841"/>
    <w:rsid w:val="6F753C32"/>
    <w:rsid w:val="707F71F1"/>
    <w:rsid w:val="73053858"/>
    <w:rsid w:val="730E7BA1"/>
    <w:rsid w:val="7CD75C71"/>
    <w:rsid w:val="7DD325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A59"/>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F34A59"/>
    <w:pPr>
      <w:spacing w:after="0"/>
    </w:pPr>
    <w:rPr>
      <w:sz w:val="18"/>
      <w:szCs w:val="18"/>
    </w:rPr>
  </w:style>
  <w:style w:type="paragraph" w:styleId="a4">
    <w:name w:val="footer"/>
    <w:basedOn w:val="a"/>
    <w:link w:val="Char0"/>
    <w:uiPriority w:val="99"/>
    <w:unhideWhenUsed/>
    <w:qFormat/>
    <w:rsid w:val="00F34A59"/>
    <w:pPr>
      <w:tabs>
        <w:tab w:val="center" w:pos="4153"/>
        <w:tab w:val="right" w:pos="8306"/>
      </w:tabs>
    </w:pPr>
    <w:rPr>
      <w:sz w:val="18"/>
      <w:szCs w:val="18"/>
    </w:rPr>
  </w:style>
  <w:style w:type="paragraph" w:styleId="a5">
    <w:name w:val="header"/>
    <w:basedOn w:val="a"/>
    <w:link w:val="Char1"/>
    <w:uiPriority w:val="99"/>
    <w:unhideWhenUsed/>
    <w:qFormat/>
    <w:rsid w:val="00F34A59"/>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F34A59"/>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F34A59"/>
    <w:rPr>
      <w:b/>
      <w:bCs/>
    </w:rPr>
  </w:style>
  <w:style w:type="character" w:styleId="a8">
    <w:name w:val="Hyperlink"/>
    <w:basedOn w:val="a0"/>
    <w:uiPriority w:val="99"/>
    <w:semiHidden/>
    <w:unhideWhenUsed/>
    <w:qFormat/>
    <w:rsid w:val="00F34A59"/>
    <w:rPr>
      <w:color w:val="0000FF"/>
      <w:u w:val="single"/>
    </w:rPr>
  </w:style>
  <w:style w:type="character" w:customStyle="1" w:styleId="Char1">
    <w:name w:val="页眉 Char"/>
    <w:basedOn w:val="a0"/>
    <w:link w:val="a5"/>
    <w:uiPriority w:val="99"/>
    <w:qFormat/>
    <w:rsid w:val="00F34A59"/>
    <w:rPr>
      <w:rFonts w:ascii="Tahoma" w:hAnsi="Tahoma"/>
      <w:sz w:val="18"/>
      <w:szCs w:val="18"/>
    </w:rPr>
  </w:style>
  <w:style w:type="character" w:customStyle="1" w:styleId="Char0">
    <w:name w:val="页脚 Char"/>
    <w:basedOn w:val="a0"/>
    <w:link w:val="a4"/>
    <w:uiPriority w:val="99"/>
    <w:qFormat/>
    <w:rsid w:val="00F34A59"/>
    <w:rPr>
      <w:rFonts w:ascii="Tahoma" w:hAnsi="Tahoma"/>
      <w:sz w:val="18"/>
      <w:szCs w:val="18"/>
    </w:rPr>
  </w:style>
  <w:style w:type="character" w:customStyle="1" w:styleId="apple-converted-space">
    <w:name w:val="apple-converted-space"/>
    <w:basedOn w:val="a0"/>
    <w:qFormat/>
    <w:rsid w:val="00F34A59"/>
  </w:style>
  <w:style w:type="character" w:customStyle="1" w:styleId="Char">
    <w:name w:val="批注框文本 Char"/>
    <w:basedOn w:val="a0"/>
    <w:link w:val="a3"/>
    <w:uiPriority w:val="99"/>
    <w:semiHidden/>
    <w:qFormat/>
    <w:rsid w:val="00F34A59"/>
    <w:rPr>
      <w:rFonts w:ascii="Tahoma" w:hAnsi="Tahoma"/>
      <w:sz w:val="18"/>
      <w:szCs w:val="18"/>
    </w:rPr>
  </w:style>
  <w:style w:type="paragraph" w:customStyle="1" w:styleId="TableParagraph">
    <w:name w:val="Table Paragraph"/>
    <w:basedOn w:val="a"/>
    <w:uiPriority w:val="1"/>
    <w:qFormat/>
    <w:rsid w:val="00F34A59"/>
    <w:pPr>
      <w:widowControl w:val="0"/>
      <w:autoSpaceDE w:val="0"/>
      <w:autoSpaceDN w:val="0"/>
      <w:snapToGrid/>
      <w:spacing w:after="0"/>
    </w:pPr>
    <w:rPr>
      <w:rFonts w:ascii="Times New Roman"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589792">
      <w:bodyDiv w:val="1"/>
      <w:marLeft w:val="0"/>
      <w:marRight w:val="0"/>
      <w:marTop w:val="0"/>
      <w:marBottom w:val="0"/>
      <w:divBdr>
        <w:top w:val="none" w:sz="0" w:space="0" w:color="auto"/>
        <w:left w:val="none" w:sz="0" w:space="0" w:color="auto"/>
        <w:bottom w:val="none" w:sz="0" w:space="0" w:color="auto"/>
        <w:right w:val="none" w:sz="0" w:space="0" w:color="auto"/>
      </w:divBdr>
    </w:div>
    <w:div w:id="145098214">
      <w:bodyDiv w:val="1"/>
      <w:marLeft w:val="0"/>
      <w:marRight w:val="0"/>
      <w:marTop w:val="0"/>
      <w:marBottom w:val="0"/>
      <w:divBdr>
        <w:top w:val="none" w:sz="0" w:space="0" w:color="auto"/>
        <w:left w:val="none" w:sz="0" w:space="0" w:color="auto"/>
        <w:bottom w:val="none" w:sz="0" w:space="0" w:color="auto"/>
        <w:right w:val="none" w:sz="0" w:space="0" w:color="auto"/>
      </w:divBdr>
    </w:div>
    <w:div w:id="239606058">
      <w:bodyDiv w:val="1"/>
      <w:marLeft w:val="0"/>
      <w:marRight w:val="0"/>
      <w:marTop w:val="0"/>
      <w:marBottom w:val="0"/>
      <w:divBdr>
        <w:top w:val="none" w:sz="0" w:space="0" w:color="auto"/>
        <w:left w:val="none" w:sz="0" w:space="0" w:color="auto"/>
        <w:bottom w:val="none" w:sz="0" w:space="0" w:color="auto"/>
        <w:right w:val="none" w:sz="0" w:space="0" w:color="auto"/>
      </w:divBdr>
    </w:div>
    <w:div w:id="440034999">
      <w:bodyDiv w:val="1"/>
      <w:marLeft w:val="0"/>
      <w:marRight w:val="0"/>
      <w:marTop w:val="0"/>
      <w:marBottom w:val="0"/>
      <w:divBdr>
        <w:top w:val="none" w:sz="0" w:space="0" w:color="auto"/>
        <w:left w:val="none" w:sz="0" w:space="0" w:color="auto"/>
        <w:bottom w:val="none" w:sz="0" w:space="0" w:color="auto"/>
        <w:right w:val="none" w:sz="0" w:space="0" w:color="auto"/>
      </w:divBdr>
    </w:div>
    <w:div w:id="463280228">
      <w:bodyDiv w:val="1"/>
      <w:marLeft w:val="0"/>
      <w:marRight w:val="0"/>
      <w:marTop w:val="0"/>
      <w:marBottom w:val="0"/>
      <w:divBdr>
        <w:top w:val="none" w:sz="0" w:space="0" w:color="auto"/>
        <w:left w:val="none" w:sz="0" w:space="0" w:color="auto"/>
        <w:bottom w:val="none" w:sz="0" w:space="0" w:color="auto"/>
        <w:right w:val="none" w:sz="0" w:space="0" w:color="auto"/>
      </w:divBdr>
    </w:div>
    <w:div w:id="499928766">
      <w:bodyDiv w:val="1"/>
      <w:marLeft w:val="0"/>
      <w:marRight w:val="0"/>
      <w:marTop w:val="0"/>
      <w:marBottom w:val="0"/>
      <w:divBdr>
        <w:top w:val="none" w:sz="0" w:space="0" w:color="auto"/>
        <w:left w:val="none" w:sz="0" w:space="0" w:color="auto"/>
        <w:bottom w:val="none" w:sz="0" w:space="0" w:color="auto"/>
        <w:right w:val="none" w:sz="0" w:space="0" w:color="auto"/>
      </w:divBdr>
    </w:div>
    <w:div w:id="830677343">
      <w:bodyDiv w:val="1"/>
      <w:marLeft w:val="0"/>
      <w:marRight w:val="0"/>
      <w:marTop w:val="0"/>
      <w:marBottom w:val="0"/>
      <w:divBdr>
        <w:top w:val="none" w:sz="0" w:space="0" w:color="auto"/>
        <w:left w:val="none" w:sz="0" w:space="0" w:color="auto"/>
        <w:bottom w:val="none" w:sz="0" w:space="0" w:color="auto"/>
        <w:right w:val="none" w:sz="0" w:space="0" w:color="auto"/>
      </w:divBdr>
    </w:div>
    <w:div w:id="1448235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hinawealth.com.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555</Words>
  <Characters>3170</Characters>
  <Application>Microsoft Office Word</Application>
  <DocSecurity>0</DocSecurity>
  <Lines>26</Lines>
  <Paragraphs>7</Paragraphs>
  <ScaleCrop>false</ScaleCrop>
  <Company/>
  <LinksUpToDate>false</LinksUpToDate>
  <CharactersWithSpaces>3718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397</cp:revision>
  <cp:lastPrinted>2021-06-03T04:20:00Z</cp:lastPrinted>
  <dcterms:created xsi:type="dcterms:W3CDTF">2008-09-11T17:20:00Z</dcterms:created>
  <dcterms:modified xsi:type="dcterms:W3CDTF">2025-02-08T06:52:00Z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048AEE60E7C840B2AF11B73D7D5F2800</vt:lpwstr>
  </property>
</Properties>
</file>