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3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wpc="http://schemas.microsoft.com/office/word/2010/wordprocessingCanvas" xmlns:wp14="http://schemas.microsoft.com/office/word/2010/wordprocessingDrawing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mc:Ignorable="w14 wp14">
  <!-- Generated by Spire.Doc -->
  <w:body>
    <w:p>
      <w:pPr>
        <w:widowControl/>
        <w:jc w:val="center"/>
        <w:rPr>
          <w:rFonts w:ascii="楷体" w:eastAsia="楷体" w:hAnsi="楷体" w:cs="楷体" w:hint="eastAsia"/>
          <w:b/>
          <w:bCs/>
          <w:color w:val="000000"/>
          <w:kern w:val="0"/>
          <w:sz w:val="32"/>
          <w:szCs w:val="32"/>
          <w:lang w:val="en-US" w:eastAsia="zh-CN"/>
        </w:rPr>
      </w:pPr>
      <w:r>
        <w:rPr>
          <w:rFonts w:ascii="楷体" w:eastAsia="楷体" w:hAnsi="楷体" w:cs="楷体" w:hint="eastAsia"/>
          <w:b/>
          <w:bCs/>
          <w:color w:val="000000"/>
          <w:kern w:val="0"/>
          <w:sz w:val="32"/>
          <w:szCs w:val="32"/>
          <w:lang w:val="en-US" w:eastAsia="zh-CN"/>
        </w:rPr>
        <w:t xml:space="preserve">苏银理财恒源6月定开1期</w:t>
      </w:r>
      <w:bookmarkStart w:id="0" w:name="_GoBack"/>
      <w:bookmarkEnd w:id="0"/>
    </w:p>
    <w:p>
      <w:pPr>
        <w:widowControl/>
        <w:jc w:val="center"/>
        <w:rPr>
          <w:rFonts w:ascii="楷体" w:eastAsia="楷体" w:hAnsi="楷体" w:cs="楷体" w:hint="eastAsia"/>
          <w:color w:val="000000"/>
          <w:kern w:val="0"/>
          <w:sz w:val="24"/>
          <w:szCs w:val="24"/>
        </w:rPr>
      </w:pPr>
      <w:r>
        <w:rPr>
          <w:rFonts w:ascii="楷体" w:eastAsia="楷体" w:hAnsi="楷体" w:cs="楷体" w:hint="eastAsia"/>
          <w:b/>
          <w:bCs/>
          <w:color w:val="000000"/>
          <w:kern w:val="0"/>
          <w:sz w:val="32"/>
          <w:szCs w:val="32"/>
        </w:rPr>
        <w:t xml:space="preserve">理财产品</w:t>
      </w:r>
      <w:r>
        <w:rPr>
          <w:rFonts w:ascii="楷体" w:eastAsia="楷体" w:hAnsi="楷体" w:cs="楷体" w:hint="eastAsia"/>
          <w:b/>
          <w:bCs/>
          <w:color w:val="000000"/>
          <w:kern w:val="0"/>
          <w:sz w:val="32"/>
          <w:szCs w:val="32"/>
          <w:lang w:val="en-US" w:eastAsia="zh-CN"/>
        </w:rPr>
        <w:t xml:space="preserve">收益分配</w:t>
      </w:r>
      <w:r>
        <w:rPr>
          <w:rFonts w:ascii="楷体" w:eastAsia="楷体" w:hAnsi="楷体" w:cs="楷体" w:hint="eastAsia"/>
          <w:b/>
          <w:bCs/>
          <w:color w:val="000000"/>
          <w:kern w:val="0"/>
          <w:sz w:val="32"/>
          <w:szCs w:val="32"/>
        </w:rPr>
        <w:t xml:space="preserve">公告</w:t>
      </w:r>
    </w:p>
    <w:p>
      <w:pPr>
        <w:widowControl/>
        <w:jc w:val="left"/>
        <w:rPr>
          <w:rFonts w:ascii="楷体" w:eastAsia="楷体" w:hAnsi="楷体" w:cs="楷体" w:hint="eastAsia"/>
          <w:color w:val="000000"/>
          <w:kern w:val="0"/>
          <w:sz w:val="27"/>
          <w:szCs w:val="27"/>
        </w:rPr>
      </w:pPr>
      <w:r>
        <w:rPr>
          <w:rFonts w:ascii="楷体" w:eastAsia="楷体" w:hAnsi="楷体" w:cs="楷体" w:hint="eastAsia"/>
          <w:color w:val="000000"/>
          <w:kern w:val="0"/>
          <w:sz w:val="27"/>
          <w:szCs w:val="27"/>
        </w:rPr>
        <w:t xml:space="preserve">尊敬的客户：</w:t>
      </w:r>
    </w:p>
    <w:p>
      <w:pPr>
        <w:widowControl/>
        <w:ind w:firstLine="480"/>
        <w:rPr>
          <w:rFonts w:ascii="楷体" w:eastAsia="楷体" w:hAnsi="楷体" w:cs="楷体" w:hint="default"/>
          <w:color w:val="000000"/>
          <w:kern w:val="0"/>
          <w:sz w:val="27"/>
          <w:szCs w:val="27"/>
          <w:lang w:val="en-US" w:eastAsia="zh-CN"/>
        </w:rPr>
      </w:pPr>
      <w:r>
        <w:rPr>
          <w:rFonts w:ascii="楷体" w:eastAsia="楷体" w:hAnsi="楷体" w:cs="楷体" w:hint="eastAsia"/>
          <w:color w:val="000000"/>
          <w:kern w:val="0"/>
          <w:sz w:val="27"/>
          <w:szCs w:val="27"/>
          <w:lang w:val="en-US" w:eastAsia="zh-CN"/>
        </w:rPr>
        <w:t xml:space="preserve">根据</w:t>
      </w:r>
      <w:r>
        <w:rPr>
          <w:rFonts w:ascii="楷体" w:eastAsia="楷体" w:hAnsi="楷体" w:cs="楷体" w:hint="eastAsia"/>
          <w:color w:val="000000"/>
          <w:kern w:val="0"/>
          <w:sz w:val="27"/>
          <w:szCs w:val="27"/>
        </w:rPr>
        <w:t xml:space="preserve">“</w:t>
      </w:r>
      <w:r>
        <w:rPr>
          <w:rFonts w:ascii="楷体" w:eastAsia="楷体" w:hAnsi="楷体" w:cs="楷体" w:hint="eastAsia"/>
          <w:color w:val="000000"/>
          <w:sz w:val="27"/>
          <w:szCs w:val="27"/>
        </w:rPr>
        <w:t xml:space="preserve">苏银理财恒源6月定开1期</w:t>
      </w:r>
      <w:r>
        <w:rPr>
          <w:rFonts w:ascii="楷体" w:eastAsia="楷体" w:hAnsi="楷体" w:cs="楷体" w:hint="eastAsia"/>
          <w:color w:val="000000"/>
          <w:kern w:val="0"/>
          <w:sz w:val="27"/>
          <w:szCs w:val="27"/>
          <w:lang w:val="en-US" w:eastAsia="zh-CN"/>
        </w:rPr>
        <w:t xml:space="preserve">”（登记编码：</w:t>
      </w:r>
      <w:r>
        <w:rPr>
          <w:rFonts w:ascii="楷体" w:eastAsia="楷体" w:hAnsi="楷体" w:cs="楷体" w:hint="eastAsia"/>
          <w:color w:val="000000"/>
          <w:sz w:val="27"/>
          <w:szCs w:val="27"/>
          <w:lang w:val="en-US" w:eastAsia="zh-CN"/>
        </w:rPr>
        <w:t xml:space="preserve">Z7003121000235</w:t>
      </w:r>
      <w:r>
        <w:rPr>
          <w:rFonts w:ascii="楷体" w:eastAsia="楷体" w:hAnsi="楷体" w:cs="楷体" w:hint="eastAsia"/>
          <w:color w:val="000000"/>
          <w:kern w:val="0"/>
          <w:sz w:val="27"/>
          <w:szCs w:val="27"/>
          <w:lang w:val="en-US" w:eastAsia="zh-CN"/>
        </w:rPr>
        <w:t xml:space="preserve">）产品说明书收益分配相关条款，管理人决定进行收益分配</w:t>
      </w:r>
      <w:r>
        <w:rPr>
          <w:rFonts w:ascii="楷体" w:eastAsia="楷体" w:hAnsi="楷体" w:cs="楷体" w:hint="eastAsia"/>
          <w:color w:val="000000"/>
          <w:kern w:val="0"/>
          <w:sz w:val="27"/>
          <w:szCs w:val="27"/>
        </w:rPr>
        <w:t xml:space="preserve">。</w:t>
      </w:r>
      <w:r>
        <w:rPr>
          <w:rFonts w:ascii="楷体" w:eastAsia="楷体" w:hAnsi="楷体" w:cs="楷体" w:hint="eastAsia"/>
          <w:color w:val="000000"/>
          <w:kern w:val="0"/>
          <w:sz w:val="27"/>
          <w:szCs w:val="27"/>
          <w:lang w:val="en-US" w:eastAsia="zh-CN"/>
        </w:rPr>
        <w:t xml:space="preserve">本次收益分配具体内容如下：</w:t>
      </w:r>
    </w:p>
    <w:p>
      <w:pPr>
        <w:widowControl/>
        <w:numPr>
          <w:ilvl w:val="0"/>
          <w:numId w:val="3"/>
        </w:numPr>
        <w:ind w:firstLine="480"/>
        <w:rPr>
          <w:rFonts w:ascii="楷体" w:eastAsia="楷体" w:hAnsi="楷体" w:cs="楷体" w:hint="eastAsia"/>
          <w:color w:val="000000"/>
          <w:kern w:val="0"/>
          <w:sz w:val="27"/>
          <w:szCs w:val="27"/>
          <w:lang w:val="en-US" w:eastAsia="zh-CN"/>
        </w:rPr>
      </w:pPr>
      <w:r>
        <w:rPr>
          <w:rFonts w:ascii="楷体" w:eastAsia="楷体" w:hAnsi="楷体" w:cs="楷体" w:hint="eastAsia"/>
          <w:color w:val="000000"/>
          <w:kern w:val="0"/>
          <w:sz w:val="27"/>
          <w:szCs w:val="27"/>
          <w:lang w:val="en-US" w:eastAsia="zh-CN"/>
        </w:rPr>
        <w:t xml:space="preserve">收益分配方案</w:t>
      </w:r>
    </w:p>
    <w:tbl>
      <w:tblPr>
        <w:tblStyle w:val="TableGrid"/>
        <w:tblW w:w="8744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0" w:lastRow="0" w:firstColumn="0" w:lastColumn="0" w:noHBand="1" w:noVBand="1"/>
      </w:tblPr>
      <w:tblGrid>
        <w:gridCol w:w="2127"/>
        <w:gridCol w:w="4534"/>
        <w:gridCol w:w="2083"/>
      </w:tblGrid>
      <w:tr>
        <w:tblPrEx>
          <w:tblW w:w="8744" w:type="dxa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/>
        <w:tc>
          <w:tcPr>
            <w:tcW w:w="2127" w:type="dxa"/>
            <w:noWrap w:val="0"/>
          </w:tcPr>
          <w:p>
            <w:pPr>
              <w:widowControl/>
              <w:numPr>
                <w:ilvl w:val="0"/>
                <w:numId w:val="0"/>
              </w:numPr>
              <w:jc w:val="both"/>
              <w:rPr>
                <w:rFonts w:ascii="楷体" w:eastAsia="楷体" w:hAnsi="楷体" w:cs="楷体" w:hint="default"/>
                <w:color w:val="000000"/>
                <w:sz w:val="26"/>
                <w:szCs w:val="26"/>
                <w:vertAlign w:val="baseline"/>
                <w:lang w:val="en-US" w:eastAsia="zh-CN"/>
              </w:rPr>
            </w:pPr>
            <w:r>
              <w:rPr>
                <w:rFonts w:ascii="楷体" w:eastAsia="楷体" w:hAnsi="楷体" w:cs="楷体" w:hint="eastAsia"/>
                <w:color w:val="000000"/>
                <w:sz w:val="26"/>
                <w:szCs w:val="26"/>
                <w:vertAlign w:val="baseline"/>
                <w:lang w:val="en-US" w:eastAsia="zh-CN"/>
              </w:rPr>
              <w:t xml:space="preserve">销售代码</w:t>
            </w:r>
          </w:p>
        </w:tc>
        <w:tc>
          <w:tcPr>
            <w:tcW w:w="4534" w:type="dxa"/>
            <w:noWrap w:val="0"/>
          </w:tcPr>
          <w:p>
            <w:pPr>
              <w:widowControl/>
              <w:numPr>
                <w:ilvl w:val="0"/>
                <w:numId w:val="0"/>
              </w:numPr>
              <w:jc w:val="both"/>
              <w:rPr>
                <w:rFonts w:ascii="楷体" w:eastAsia="楷体" w:hAnsi="楷体" w:cs="楷体" w:hint="default"/>
                <w:color w:val="000000"/>
                <w:sz w:val="26"/>
                <w:szCs w:val="26"/>
                <w:vertAlign w:val="baseline"/>
                <w:lang w:val="en-US" w:eastAsia="zh-CN"/>
              </w:rPr>
            </w:pPr>
            <w:r>
              <w:rPr>
                <w:rFonts w:ascii="楷体" w:eastAsia="楷体" w:hAnsi="楷体" w:cs="楷体" w:hint="eastAsia"/>
                <w:color w:val="000000"/>
                <w:sz w:val="26"/>
                <w:szCs w:val="26"/>
                <w:vertAlign w:val="baseline"/>
                <w:lang w:val="en-US" w:eastAsia="zh-CN"/>
              </w:rPr>
              <w:t xml:space="preserve">销售名称</w:t>
            </w:r>
          </w:p>
        </w:tc>
        <w:tc>
          <w:tcPr>
            <w:tcW w:w="2083" w:type="dxa"/>
            <w:noWrap w:val="0"/>
          </w:tcPr>
          <w:p>
            <w:pPr>
              <w:widowControl/>
              <w:numPr>
                <w:ilvl w:val="0"/>
                <w:numId w:val="0"/>
              </w:numPr>
              <w:jc w:val="both"/>
              <w:rPr>
                <w:rFonts w:ascii="楷体" w:eastAsia="楷体" w:hAnsi="楷体" w:cs="楷体" w:hint="default"/>
                <w:color w:val="000000"/>
                <w:sz w:val="26"/>
                <w:szCs w:val="26"/>
                <w:vertAlign w:val="baseline"/>
                <w:lang w:val="en-US" w:eastAsia="zh-CN"/>
              </w:rPr>
            </w:pPr>
            <w:r>
              <w:rPr>
                <w:rFonts w:ascii="楷体" w:eastAsia="楷体" w:hAnsi="楷体" w:cs="楷体" w:hint="eastAsia"/>
                <w:color w:val="000000"/>
                <w:sz w:val="26"/>
                <w:szCs w:val="26"/>
                <w:vertAlign w:val="baseline"/>
                <w:lang w:val="en-US" w:eastAsia="zh-CN"/>
              </w:rPr>
              <w:t xml:space="preserve">单位份额收益分配金额（元/份）</w:t>
            </w:r>
          </w:p>
        </w:tc>
      </w:tr>
      <w:tr>
        <w:tblPrEx>
          <w:tblW w:w="8744" w:type="dxa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/>
        <w:tc>
          <w:tcPr>
            <w:tcW w:w="2127" w:type="dxa"/>
            <w:noWrap w:val="0"/>
          </w:tcPr>
          <w:p>
            <w:pPr>
              <w:widowControl/>
              <w:numPr>
                <w:ilvl w:val="0"/>
                <w:numId w:val="0"/>
              </w:numPr>
              <w:jc w:val="both"/>
              <w:rPr>
                <w:rFonts w:ascii="楷体" w:eastAsia="楷体" w:hAnsi="楷体" w:cs="楷体" w:hint="default"/>
                <w:color w:val="000000"/>
                <w:sz w:val="26"/>
                <w:szCs w:val="26"/>
                <w:vertAlign w:val="baseline"/>
                <w:lang w:val="en-US" w:eastAsia="zh-CN"/>
              </w:rPr>
            </w:pPr>
            <w:r>
              <w:rPr>
                <w:rFonts w:ascii="楷体" w:eastAsia="楷体" w:hAnsi="楷体" w:cs="楷体" w:hint="default"/>
                <w:color w:val="000000"/>
                <w:sz w:val="26"/>
                <w:szCs w:val="26"/>
                <w:vertAlign w:val="baseline"/>
                <w:lang w:val="en-US" w:eastAsia="zh-CN"/>
              </w:rPr>
              <w:t xml:space="preserve">J01066</w:t>
            </w:r>
          </w:p>
        </w:tc>
        <w:tc>
          <w:tcPr>
            <w:tcW w:w="4534" w:type="dxa"/>
            <w:noWrap w:val="0"/>
          </w:tcPr>
          <w:p>
            <w:pPr>
              <w:widowControl/>
              <w:numPr>
                <w:ilvl w:val="0"/>
                <w:numId w:val="0"/>
              </w:numPr>
              <w:jc w:val="both"/>
              <w:rPr>
                <w:rFonts w:ascii="楷体" w:eastAsia="楷体" w:hAnsi="楷体" w:cs="楷体" w:hint="default"/>
                <w:color w:val="000000"/>
                <w:sz w:val="26"/>
                <w:szCs w:val="26"/>
                <w:vertAlign w:val="baseline"/>
                <w:lang w:val="en-US" w:eastAsia="zh-CN"/>
              </w:rPr>
            </w:pPr>
            <w:r>
              <w:rPr>
                <w:rFonts w:ascii="楷体" w:eastAsia="楷体" w:hAnsi="楷体" w:cs="楷体" w:hint="default"/>
                <w:color w:val="000000"/>
                <w:sz w:val="26"/>
                <w:szCs w:val="26"/>
                <w:vertAlign w:val="baseline"/>
                <w:lang w:val="en-US" w:eastAsia="zh-CN"/>
              </w:rPr>
              <w:t xml:space="preserve">苏银理财恒源6月定开1期A</w:t>
            </w:r>
          </w:p>
        </w:tc>
        <w:tc>
          <w:tcPr>
            <w:tcW w:w="2083" w:type="dxa"/>
            <w:noWrap w:val="0"/>
          </w:tcPr>
          <w:p>
            <w:pPr>
              <w:widowControl/>
              <w:numPr>
                <w:ilvl w:val="0"/>
                <w:numId w:val="0"/>
              </w:numPr>
              <w:jc w:val="both"/>
              <w:rPr>
                <w:rFonts w:ascii="楷体" w:eastAsia="楷体" w:hAnsi="楷体" w:cs="楷体" w:hint="default"/>
                <w:color w:val="000000"/>
                <w:sz w:val="26"/>
                <w:szCs w:val="26"/>
                <w:vertAlign w:val="baseline"/>
                <w:lang w:val="en-US" w:eastAsia="zh-CN"/>
              </w:rPr>
            </w:pPr>
            <w:r>
              <w:rPr>
                <w:rFonts w:ascii="楷体" w:eastAsia="楷体" w:hAnsi="楷体" w:cs="楷体" w:hint="default"/>
                <w:color w:val="000000"/>
                <w:sz w:val="26"/>
                <w:szCs w:val="26"/>
                <w:vertAlign w:val="baseline"/>
                <w:lang w:val="en-US" w:eastAsia="zh-CN"/>
              </w:rPr>
              <w:t xml:space="preserve">0.009793</w:t>
            </w:r>
          </w:p>
        </w:tc>
      </w:tr>
      <w:tr>
        <w:trPr/>
        <w:tc>
          <w:tcPr>
            <w:tcW w:w="2127" w:type="dxa"/>
            <w:noWrap w:val="0"/>
          </w:tcPr>
          <w:p>
            <w:pPr>
              <w:widowControl/>
              <w:numPr>
                <w:ilvl w:val="0"/>
                <w:numId w:val="0"/>
              </w:numPr>
              <w:jc w:val="both"/>
              <w:rPr>
                <w:rFonts w:ascii="楷体" w:eastAsia="楷体" w:hAnsi="楷体" w:cs="楷体" w:hint="default"/>
                <w:color w:val="000000"/>
                <w:sz w:val="26"/>
                <w:szCs w:val="26"/>
                <w:vertAlign w:val="baseline"/>
                <w:lang w:val="en-US" w:eastAsia="zh-CN"/>
              </w:rPr>
            </w:pPr>
            <w:r>
              <w:rPr>
                <w:rFonts w:ascii="楷体" w:eastAsia="楷体" w:hAnsi="楷体" w:cs="楷体" w:hint="default"/>
                <w:color w:val="000000"/>
                <w:sz w:val="26"/>
                <w:szCs w:val="26"/>
                <w:vertAlign w:val="baseline"/>
                <w:lang w:val="en-US" w:eastAsia="zh-CN"/>
              </w:rPr>
              <w:t xml:space="preserve">J01067</w:t>
            </w:r>
          </w:p>
        </w:tc>
        <w:tc>
          <w:tcPr>
            <w:tcW w:w="4534" w:type="dxa"/>
            <w:noWrap w:val="0"/>
          </w:tcPr>
          <w:p>
            <w:pPr>
              <w:widowControl/>
              <w:numPr>
                <w:ilvl w:val="0"/>
                <w:numId w:val="0"/>
              </w:numPr>
              <w:jc w:val="both"/>
              <w:rPr>
                <w:rFonts w:ascii="楷体" w:eastAsia="楷体" w:hAnsi="楷体" w:cs="楷体" w:hint="default"/>
                <w:color w:val="000000"/>
                <w:sz w:val="26"/>
                <w:szCs w:val="26"/>
                <w:vertAlign w:val="baseline"/>
                <w:lang w:val="en-US" w:eastAsia="zh-CN"/>
              </w:rPr>
            </w:pPr>
            <w:r>
              <w:rPr>
                <w:rFonts w:ascii="楷体" w:eastAsia="楷体" w:hAnsi="楷体" w:cs="楷体" w:hint="default"/>
                <w:color w:val="000000"/>
                <w:sz w:val="26"/>
                <w:szCs w:val="26"/>
                <w:vertAlign w:val="baseline"/>
                <w:lang w:val="en-US" w:eastAsia="zh-CN"/>
              </w:rPr>
              <w:t xml:space="preserve">苏银理财恒源6月定开1期C</w:t>
            </w:r>
          </w:p>
        </w:tc>
        <w:tc>
          <w:tcPr>
            <w:tcW w:w="2083" w:type="dxa"/>
            <w:noWrap w:val="0"/>
          </w:tcPr>
          <w:p>
            <w:pPr>
              <w:widowControl/>
              <w:numPr>
                <w:ilvl w:val="0"/>
                <w:numId w:val="0"/>
              </w:numPr>
              <w:jc w:val="both"/>
              <w:rPr>
                <w:rFonts w:ascii="楷体" w:eastAsia="楷体" w:hAnsi="楷体" w:cs="楷体" w:hint="default"/>
                <w:color w:val="000000"/>
                <w:sz w:val="26"/>
                <w:szCs w:val="26"/>
                <w:vertAlign w:val="baseline"/>
                <w:lang w:val="en-US" w:eastAsia="zh-CN"/>
              </w:rPr>
            </w:pPr>
            <w:r>
              <w:rPr>
                <w:rFonts w:ascii="楷体" w:eastAsia="楷体" w:hAnsi="楷体" w:cs="楷体" w:hint="default"/>
                <w:color w:val="000000"/>
                <w:sz w:val="26"/>
                <w:szCs w:val="26"/>
                <w:vertAlign w:val="baseline"/>
                <w:lang w:val="en-US" w:eastAsia="zh-CN"/>
              </w:rPr>
              <w:t xml:space="preserve">0.010318</w:t>
            </w:r>
          </w:p>
        </w:tc>
      </w:tr>
      <w:tr>
        <w:trPr/>
        <w:tc>
          <w:tcPr>
            <w:tcW w:w="2127" w:type="dxa"/>
            <w:noWrap w:val="0"/>
          </w:tcPr>
          <w:p>
            <w:pPr>
              <w:widowControl/>
              <w:numPr>
                <w:ilvl w:val="0"/>
                <w:numId w:val="0"/>
              </w:numPr>
              <w:jc w:val="both"/>
              <w:rPr>
                <w:rFonts w:ascii="楷体" w:eastAsia="楷体" w:hAnsi="楷体" w:cs="楷体" w:hint="default"/>
                <w:color w:val="000000"/>
                <w:sz w:val="26"/>
                <w:szCs w:val="26"/>
                <w:vertAlign w:val="baseline"/>
                <w:lang w:val="en-US" w:eastAsia="zh-CN"/>
              </w:rPr>
            </w:pPr>
            <w:r>
              <w:rPr>
                <w:rFonts w:ascii="楷体" w:eastAsia="楷体" w:hAnsi="楷体" w:cs="楷体" w:hint="default"/>
                <w:color w:val="000000"/>
                <w:sz w:val="26"/>
                <w:szCs w:val="26"/>
                <w:vertAlign w:val="baseline"/>
                <w:lang w:val="en-US" w:eastAsia="zh-CN"/>
              </w:rPr>
              <w:t xml:space="preserve">J01068</w:t>
            </w:r>
          </w:p>
        </w:tc>
        <w:tc>
          <w:tcPr>
            <w:tcW w:w="4534" w:type="dxa"/>
            <w:noWrap w:val="0"/>
          </w:tcPr>
          <w:p>
            <w:pPr>
              <w:widowControl/>
              <w:numPr>
                <w:ilvl w:val="0"/>
                <w:numId w:val="0"/>
              </w:numPr>
              <w:jc w:val="both"/>
              <w:rPr>
                <w:rFonts w:ascii="楷体" w:eastAsia="楷体" w:hAnsi="楷体" w:cs="楷体" w:hint="default"/>
                <w:color w:val="000000"/>
                <w:sz w:val="26"/>
                <w:szCs w:val="26"/>
                <w:vertAlign w:val="baseline"/>
                <w:lang w:val="en-US" w:eastAsia="zh-CN"/>
              </w:rPr>
            </w:pPr>
            <w:r>
              <w:rPr>
                <w:rFonts w:ascii="楷体" w:eastAsia="楷体" w:hAnsi="楷体" w:cs="楷体" w:hint="default"/>
                <w:color w:val="000000"/>
                <w:sz w:val="26"/>
                <w:szCs w:val="26"/>
                <w:vertAlign w:val="baseline"/>
                <w:lang w:val="en-US" w:eastAsia="zh-CN"/>
              </w:rPr>
              <w:t xml:space="preserve">苏银理财恒源6月定开1期D</w:t>
            </w:r>
          </w:p>
        </w:tc>
        <w:tc>
          <w:tcPr>
            <w:tcW w:w="2083" w:type="dxa"/>
            <w:noWrap w:val="0"/>
          </w:tcPr>
          <w:p>
            <w:pPr>
              <w:widowControl/>
              <w:numPr>
                <w:ilvl w:val="0"/>
                <w:numId w:val="0"/>
              </w:numPr>
              <w:jc w:val="both"/>
              <w:rPr>
                <w:rFonts w:ascii="楷体" w:eastAsia="楷体" w:hAnsi="楷体" w:cs="楷体" w:hint="default"/>
                <w:color w:val="000000"/>
                <w:sz w:val="26"/>
                <w:szCs w:val="26"/>
                <w:vertAlign w:val="baseline"/>
                <w:lang w:val="en-US" w:eastAsia="zh-CN"/>
              </w:rPr>
            </w:pPr>
            <w:r>
              <w:rPr>
                <w:rFonts w:ascii="楷体" w:eastAsia="楷体" w:hAnsi="楷体" w:cs="楷体" w:hint="default"/>
                <w:color w:val="000000"/>
                <w:sz w:val="26"/>
                <w:szCs w:val="26"/>
                <w:vertAlign w:val="baseline"/>
                <w:lang w:val="en-US" w:eastAsia="zh-CN"/>
              </w:rPr>
              <w:t xml:space="preserve">0.010578</w:t>
            </w:r>
          </w:p>
        </w:tc>
      </w:tr>
      <w:tr>
        <w:trPr/>
        <w:tc>
          <w:tcPr>
            <w:tcW w:w="2127" w:type="dxa"/>
            <w:noWrap w:val="0"/>
          </w:tcPr>
          <w:p>
            <w:pPr>
              <w:widowControl/>
              <w:numPr>
                <w:ilvl w:val="0"/>
                <w:numId w:val="0"/>
              </w:numPr>
              <w:jc w:val="both"/>
              <w:rPr>
                <w:rFonts w:ascii="楷体" w:eastAsia="楷体" w:hAnsi="楷体" w:cs="楷体" w:hint="default"/>
                <w:color w:val="000000"/>
                <w:sz w:val="26"/>
                <w:szCs w:val="26"/>
                <w:vertAlign w:val="baseline"/>
                <w:lang w:val="en-US" w:eastAsia="zh-CN"/>
              </w:rPr>
            </w:pPr>
            <w:r>
              <w:rPr>
                <w:rFonts w:ascii="楷体" w:eastAsia="楷体" w:hAnsi="楷体" w:cs="楷体" w:hint="default"/>
                <w:color w:val="000000"/>
                <w:sz w:val="26"/>
                <w:szCs w:val="26"/>
                <w:vertAlign w:val="baseline"/>
                <w:lang w:val="en-US" w:eastAsia="zh-CN"/>
              </w:rPr>
              <w:t xml:space="preserve">J02021</w:t>
            </w:r>
          </w:p>
        </w:tc>
        <w:tc>
          <w:tcPr>
            <w:tcW w:w="4534" w:type="dxa"/>
            <w:noWrap w:val="0"/>
          </w:tcPr>
          <w:p>
            <w:pPr>
              <w:widowControl/>
              <w:numPr>
                <w:ilvl w:val="0"/>
                <w:numId w:val="0"/>
              </w:numPr>
              <w:jc w:val="both"/>
              <w:rPr>
                <w:rFonts w:ascii="楷体" w:eastAsia="楷体" w:hAnsi="楷体" w:cs="楷体" w:hint="default"/>
                <w:color w:val="000000"/>
                <w:sz w:val="26"/>
                <w:szCs w:val="26"/>
                <w:vertAlign w:val="baseline"/>
                <w:lang w:val="en-US" w:eastAsia="zh-CN"/>
              </w:rPr>
            </w:pPr>
            <w:r>
              <w:rPr>
                <w:rFonts w:ascii="楷体" w:eastAsia="楷体" w:hAnsi="楷体" w:cs="楷体" w:hint="default"/>
                <w:color w:val="000000"/>
                <w:sz w:val="26"/>
                <w:szCs w:val="26"/>
                <w:vertAlign w:val="baseline"/>
                <w:lang w:val="en-US" w:eastAsia="zh-CN"/>
              </w:rPr>
              <w:t xml:space="preserve">苏银理财恒源6月定开1期F</w:t>
            </w:r>
          </w:p>
        </w:tc>
        <w:tc>
          <w:tcPr>
            <w:tcW w:w="2083" w:type="dxa"/>
            <w:noWrap w:val="0"/>
          </w:tcPr>
          <w:p>
            <w:pPr>
              <w:widowControl/>
              <w:numPr>
                <w:ilvl w:val="0"/>
                <w:numId w:val="0"/>
              </w:numPr>
              <w:jc w:val="both"/>
              <w:rPr>
                <w:rFonts w:ascii="楷体" w:eastAsia="楷体" w:hAnsi="楷体" w:cs="楷体" w:hint="default"/>
                <w:color w:val="000000"/>
                <w:sz w:val="26"/>
                <w:szCs w:val="26"/>
                <w:vertAlign w:val="baseline"/>
                <w:lang w:val="en-US" w:eastAsia="zh-CN"/>
              </w:rPr>
            </w:pPr>
            <w:r>
              <w:rPr>
                <w:rFonts w:ascii="楷体" w:eastAsia="楷体" w:hAnsi="楷体" w:cs="楷体" w:hint="default"/>
                <w:color w:val="000000"/>
                <w:sz w:val="26"/>
                <w:szCs w:val="26"/>
                <w:vertAlign w:val="baseline"/>
                <w:lang w:val="en-US" w:eastAsia="zh-CN"/>
              </w:rPr>
              <w:t xml:space="preserve">0.009797</w:t>
            </w:r>
          </w:p>
        </w:tc>
      </w:tr>
    </w:tbl>
    <w:p>
      <w:pPr>
        <w:rPr>
          <w:rFonts w:ascii="楷体" w:eastAsia="楷体" w:hAnsi="楷体" w:cs="楷体" w:hint="eastAsia"/>
          <w:color w:val="000000"/>
          <w:kern w:val="0"/>
          <w:sz w:val="21"/>
          <w:szCs w:val="21"/>
          <w:lang w:val="en-US" w:eastAsia="zh-CN"/>
        </w:rPr>
      </w:pPr>
      <w:r>
        <w:rPr>
          <w:rFonts w:ascii="楷体" w:eastAsia="楷体" w:hAnsi="楷体" w:cs="楷体" w:hint="eastAsia"/>
          <w:sz w:val="21"/>
          <w:szCs w:val="21"/>
          <w:lang w:val="en-US" w:eastAsia="zh-CN"/>
        </w:rPr>
        <w:t xml:space="preserve">注：年化收益率按365天计算，每份分配收益保留六位小数（小数六位后截位），实际收益以实际到账金额为准。</w:t>
      </w:r>
    </w:p>
    <w:p>
      <w:pPr>
        <w:widowControl/>
        <w:ind w:firstLine="480"/>
        <w:rPr>
          <w:rFonts w:ascii="楷体" w:eastAsia="楷体" w:hAnsi="楷体" w:cs="楷体" w:hint="eastAsia"/>
          <w:color w:val="000000"/>
          <w:kern w:val="0"/>
          <w:sz w:val="27"/>
          <w:szCs w:val="27"/>
          <w:lang w:val="en-US" w:eastAsia="zh-CN"/>
        </w:rPr>
      </w:pPr>
      <w:r>
        <w:rPr>
          <w:rFonts w:ascii="楷体" w:eastAsia="楷体" w:hAnsi="楷体" w:cs="楷体" w:hint="eastAsia"/>
          <w:color w:val="000000"/>
          <w:kern w:val="0"/>
          <w:sz w:val="27"/>
          <w:szCs w:val="27"/>
          <w:lang w:val="en-US" w:eastAsia="zh-CN"/>
        </w:rPr>
        <w:t xml:space="preserve">二、收益分配时间</w:t>
      </w:r>
    </w:p>
    <w:p>
      <w:pPr>
        <w:widowControl/>
        <w:ind w:firstLine="480"/>
        <w:rPr>
          <w:rFonts w:ascii="楷体" w:eastAsia="楷体" w:hAnsi="楷体" w:cs="楷体" w:hint="eastAsia"/>
          <w:color w:val="000000"/>
          <w:kern w:val="0"/>
          <w:sz w:val="27"/>
          <w:szCs w:val="27"/>
          <w:lang w:val="en-US" w:eastAsia="zh-CN"/>
        </w:rPr>
      </w:pPr>
      <w:r>
        <w:rPr>
          <w:rFonts w:ascii="楷体" w:eastAsia="楷体" w:hAnsi="楷体" w:cs="楷体" w:hint="eastAsia"/>
          <w:color w:val="000000"/>
          <w:kern w:val="0"/>
          <w:sz w:val="27"/>
          <w:szCs w:val="27"/>
          <w:lang w:val="en-US" w:eastAsia="zh-CN"/>
        </w:rPr>
        <w:t xml:space="preserve">收益分配基准日</w:t>
      </w:r>
      <w:r>
        <w:rPr>
          <w:rFonts w:ascii="楷体" w:eastAsia="楷体" w:hAnsi="楷体" w:cs="楷体" w:hint="eastAsia"/>
          <w:color w:val="000000"/>
          <w:sz w:val="27"/>
          <w:szCs w:val="27"/>
          <w:lang w:val="en-US" w:eastAsia="zh-CN"/>
        </w:rPr>
        <w:t xml:space="preserve">2026年09月14日</w:t>
      </w:r>
      <w:r>
        <w:rPr>
          <w:rFonts w:ascii="楷体" w:eastAsia="楷体" w:hAnsi="楷体" w:cs="楷体" w:hint="eastAsia"/>
          <w:color w:val="000000"/>
          <w:kern w:val="0"/>
          <w:sz w:val="27"/>
          <w:szCs w:val="27"/>
          <w:lang w:val="en-US" w:eastAsia="zh-CN"/>
        </w:rPr>
        <w:t xml:space="preserve">，权益登记日</w:t>
      </w:r>
      <w:r>
        <w:rPr>
          <w:rFonts w:ascii="楷体" w:eastAsia="楷体" w:hAnsi="楷体" w:cs="楷体" w:hint="eastAsia"/>
          <w:color w:val="000000"/>
          <w:sz w:val="27"/>
          <w:szCs w:val="27"/>
          <w:lang w:val="en-US" w:eastAsia="zh-CN"/>
        </w:rPr>
        <w:t xml:space="preserve">2026年09月14日</w:t>
      </w:r>
      <w:r>
        <w:rPr>
          <w:rFonts w:ascii="楷体" w:eastAsia="楷体" w:hAnsi="楷体" w:cs="楷体" w:hint="eastAsia"/>
          <w:color w:val="000000"/>
          <w:kern w:val="0"/>
          <w:sz w:val="27"/>
          <w:szCs w:val="27"/>
          <w:lang w:val="en-US" w:eastAsia="zh-CN"/>
        </w:rPr>
        <w:t xml:space="preserve">，除权日</w:t>
      </w:r>
      <w:r>
        <w:rPr>
          <w:rFonts w:ascii="楷体" w:eastAsia="楷体" w:hAnsi="楷体" w:cs="楷体" w:hint="eastAsia"/>
          <w:color w:val="000000"/>
          <w:sz w:val="27"/>
          <w:szCs w:val="27"/>
          <w:lang w:val="en-US" w:eastAsia="zh-CN"/>
        </w:rPr>
        <w:t xml:space="preserve">2026年09月14日</w:t>
      </w:r>
      <w:r>
        <w:rPr>
          <w:rFonts w:ascii="楷体" w:eastAsia="楷体" w:hAnsi="楷体" w:cs="楷体" w:hint="eastAsia"/>
          <w:color w:val="000000"/>
          <w:kern w:val="0"/>
          <w:sz w:val="27"/>
          <w:szCs w:val="27"/>
          <w:lang w:val="en-US" w:eastAsia="zh-CN"/>
        </w:rPr>
        <w:t xml:space="preserve">，收益分配方式为现金分配。收益分配款项将于除权日后5个工作日内到达投资者账户。</w:t>
      </w:r>
    </w:p>
    <w:p>
      <w:pPr>
        <w:widowControl/>
        <w:ind w:firstLine="480"/>
        <w:rPr>
          <w:rFonts w:ascii="楷体" w:eastAsia="楷体" w:hAnsi="楷体" w:cs="楷体" w:hint="eastAsia"/>
          <w:color w:val="000000"/>
          <w:kern w:val="0"/>
          <w:sz w:val="27"/>
          <w:szCs w:val="27"/>
          <w:lang w:val="en-US" w:eastAsia="zh-CN"/>
        </w:rPr>
      </w:pPr>
      <w:r>
        <w:rPr>
          <w:rFonts w:ascii="楷体" w:eastAsia="楷体" w:hAnsi="楷体" w:cs="楷体" w:hint="eastAsia"/>
          <w:color w:val="000000"/>
          <w:kern w:val="0"/>
          <w:sz w:val="27"/>
          <w:szCs w:val="27"/>
          <w:lang w:val="en-US" w:eastAsia="zh-CN"/>
        </w:rPr>
        <w:t xml:space="preserve">三、收益分配对象</w:t>
      </w:r>
    </w:p>
    <w:p>
      <w:pPr>
        <w:widowControl/>
        <w:ind w:firstLine="480"/>
        <w:rPr>
          <w:rFonts w:ascii="楷体" w:eastAsia="楷体" w:hAnsi="楷体" w:cs="楷体" w:hint="default"/>
          <w:color w:val="000000"/>
          <w:kern w:val="0"/>
          <w:sz w:val="27"/>
          <w:szCs w:val="27"/>
          <w:lang w:val="en-US" w:eastAsia="zh-CN"/>
        </w:rPr>
      </w:pPr>
      <w:r>
        <w:rPr>
          <w:rFonts w:ascii="楷体" w:eastAsia="楷体" w:hAnsi="楷体" w:cs="楷体" w:hint="eastAsia"/>
          <w:color w:val="000000"/>
          <w:kern w:val="0"/>
          <w:sz w:val="27"/>
          <w:szCs w:val="27"/>
          <w:lang w:val="en-US" w:eastAsia="zh-CN"/>
        </w:rPr>
        <w:t xml:space="preserve">权益登记日登记在册的本理财产品份额持有人。权益登记日申请申购的理财份额不享有本次收益分配权益，权益登记日申请赎回的理财份额享有本次收益分配权益。</w:t>
      </w:r>
    </w:p>
    <w:p>
      <w:pPr>
        <w:widowControl/>
        <w:ind w:firstLine="480"/>
        <w:rPr>
          <w:rFonts w:ascii="楷体" w:eastAsia="楷体" w:hAnsi="楷体" w:cs="楷体" w:hint="default"/>
          <w:color w:val="000000"/>
          <w:kern w:val="0"/>
          <w:sz w:val="27"/>
          <w:szCs w:val="27"/>
          <w:lang w:val="en-US" w:eastAsia="zh-CN"/>
        </w:rPr>
      </w:pPr>
    </w:p>
    <w:p>
      <w:pPr>
        <w:widowControl/>
        <w:ind w:firstLine="480"/>
        <w:rPr>
          <w:rFonts w:ascii="楷体" w:eastAsia="楷体" w:hAnsi="楷体" w:cs="楷体" w:hint="eastAsia"/>
          <w:b/>
          <w:bCs/>
          <w:color w:val="000000"/>
          <w:kern w:val="0"/>
          <w:sz w:val="27"/>
          <w:szCs w:val="27"/>
          <w:lang w:val="en-US" w:eastAsia="zh-CN"/>
        </w:rPr>
      </w:pPr>
      <w:r>
        <w:rPr>
          <w:rFonts w:ascii="楷体" w:eastAsia="楷体" w:hAnsi="楷体" w:cs="楷体" w:hint="eastAsia"/>
          <w:b/>
          <w:bCs/>
          <w:color w:val="000000"/>
          <w:kern w:val="0"/>
          <w:sz w:val="27"/>
          <w:szCs w:val="27"/>
          <w:lang w:val="en-US" w:eastAsia="zh-CN"/>
        </w:rPr>
        <w:t xml:space="preserve">理财产品过往业绩不代表未来表现，不等于理财产品实际收益，投资须谨慎。</w:t>
      </w:r>
    </w:p>
    <w:p>
      <w:pPr>
        <w:widowControl/>
        <w:ind w:firstLine="480"/>
        <w:rPr>
          <w:rFonts w:ascii="楷体" w:eastAsia="楷体" w:hAnsi="楷体" w:cs="楷体" w:hint="eastAsia"/>
          <w:color w:val="000000"/>
          <w:kern w:val="0"/>
          <w:sz w:val="27"/>
          <w:szCs w:val="27"/>
        </w:rPr>
      </w:pPr>
      <w:r>
        <w:rPr>
          <w:rFonts w:ascii="楷体" w:eastAsia="楷体" w:hAnsi="楷体" w:cs="楷体" w:hint="eastAsia"/>
          <w:color w:val="000000"/>
          <w:kern w:val="0"/>
          <w:sz w:val="27"/>
          <w:szCs w:val="27"/>
        </w:rPr>
        <w:t xml:space="preserve">特此公告。</w:t>
      </w:r>
    </w:p>
    <w:p>
      <w:pPr>
        <w:widowControl/>
        <w:ind w:firstLine="480"/>
        <w:jc w:val="right"/>
        <w:rPr>
          <w:rFonts w:ascii="楷体" w:eastAsia="楷体" w:hAnsi="楷体" w:cs="楷体" w:hint="eastAsia"/>
          <w:color w:val="000000"/>
          <w:kern w:val="0"/>
          <w:sz w:val="27"/>
          <w:szCs w:val="27"/>
          <w:lang w:val="en-US" w:eastAsia="zh-CN"/>
        </w:rPr>
      </w:pPr>
      <w:r>
        <w:rPr>
          <w:rFonts w:ascii="楷体" w:eastAsia="楷体" w:hAnsi="楷体" w:cs="楷体" w:hint="eastAsia"/>
          <w:color w:val="000000"/>
          <w:kern w:val="0"/>
          <w:sz w:val="27"/>
          <w:szCs w:val="27"/>
        </w:rPr>
        <w:t xml:space="preserve">苏银理财有限责任公司</w:t>
      </w:r>
      <w:r>
        <w:rPr>
          <w:rFonts w:ascii="楷体" w:eastAsia="楷体" w:hAnsi="楷体" w:cs="楷体" w:hint="eastAsia"/>
          <w:color w:val="000000"/>
          <w:kern w:val="0"/>
          <w:sz w:val="27"/>
          <w:szCs w:val="27"/>
        </w:rPr>
        <w:br/>
      </w:r>
      <w:r>
        <w:rPr>
          <w:rFonts w:ascii="楷体" w:eastAsia="楷体" w:hAnsi="楷体" w:cs="楷体" w:hint="eastAsia"/>
          <w:color w:val="000000"/>
          <w:sz w:val="27"/>
          <w:szCs w:val="27"/>
          <w:lang w:val="en-US" w:eastAsia="zh-CN"/>
        </w:rPr>
        <w:t xml:space="preserve">2026年09月15日</w:t>
      </w:r>
    </w:p>
    <w:p>
      <w:pPr>
        <w:pStyle w:val="Heading3"/>
        <w:rPr>
          <w:rFonts w:hint="eastAsia"/>
          <w:lang w:val="en-US" w:eastAsia="zh-CN"/>
        </w:rPr>
      </w:pPr>
    </w:p>
    <w:p>
      <w:pPr>
        <w:rPr>
          <w:rFonts w:ascii="楷体" w:eastAsia="楷体" w:hAnsi="楷体" w:cs="楷体" w:hint="eastAsia"/>
          <w:sz w:val="21"/>
          <w:szCs w:val="21"/>
          <w:lang w:val="en-US" w:eastAsia="zh-CN"/>
        </w:rPr>
      </w:pPr>
      <w:r>
        <w:rPr>
          <w:rFonts w:ascii="楷体" w:eastAsia="楷体" w:hAnsi="楷体" w:cs="楷体" w:hint="eastAsia"/>
          <w:sz w:val="21"/>
          <w:szCs w:val="21"/>
        </w:rPr>
        <w:t xml:space="preserve">备注：本次披露内容解释权归苏银理财所有，不构成任何形式的法律要约或承诺。</w:t>
      </w:r>
    </w:p>
    <w:sectPr>
      <w:headerReference w:type="even" r:id="rId4"/>
      <w:headerReference w:type="default" r:id="rId5"/>
      <w:headerReference w:type="first" r:id="rId6"/>
      <w:footerReference w:type="default" r:id="rId7"/>
      <w:pgSz w:w="11906" w:h="16838" w:orient="portrait"/>
      <w:pgMar w:top="1440" w:right="1800" w:bottom="1440" w:left="1800" w:header="851" w:footer="992" w:gutter="0"/>
      <w:cols w:num="1" w:space="720">
        <w:col w:w="8306" w:space="720"/>
      </w:cols>
      <w:docGrid w:type="lines" w:linePitch="312" w:charSpace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 xmlns:mc="http://schemas.openxmlformats.org/markup-compatibility/2006" xmlns:w14="http://schemas.microsoft.com/office/word/2010/wordml" mc:Ignorable="w14">
  <w:font w:name="Times New Roman">
    <w:panose1 w:val="02020603050405020304"/>
    <w:charset w:val="00"/>
    <w:family w:val="Auto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Auto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Auto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Auto"/>
    <w:pitch w:val="default"/>
    <w:sig w:usb0="E00002FF" w:usb1="4000ACFF" w:usb2="00000001" w:usb3="00000000" w:csb0="2000019F" w:csb1="00000000"/>
  </w:font>
  <w:font w:name="Cambria">
    <w:panose1 w:val="02040503050406030204"/>
    <w:charset w:val="00"/>
    <w:family w:val="Auto"/>
    <w:pitch w:val="default"/>
    <w:sig w:usb0="E00002FF" w:usb1="400004FF" w:usb2="00000000" w:usb3="00000000" w:csb0="2000019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p>
    <w:pPr>
      <w:pStyle w:val="Footer"/>
      <w:jc w:val="center"/>
    </w:pPr>
    <w:r>
      <w:rPr>
        <w:lang w:val="zh-CN"/>
      </w:rPr>
      <w:t xml:space="preserve"> </w:t>
    </w:r>
    <w:r>
      <w:rPr>
        <w:b/>
        <w:bCs/>
      </w:rPr>
      <w:fldChar w:fldCharType="begin"/>
    </w:r>
    <w:r>
      <w:rPr>
        <w:b/>
        <w:bCs/>
      </w:rPr>
      <w:instrText xml:space="preserve">PAGE</w:instrText>
    </w:r>
    <w:r>
      <w:rPr>
        <w:b/>
        <w:bCs/>
        <w:sz w:val="24"/>
        <w:szCs w:val="24"/>
      </w:rPr>
      <w:fldChar w:fldCharType="separate"/>
    </w:r>
    <w:r>
      <w:rPr>
        <w:b/>
        <w:bCs/>
      </w:rPr>
      <w:t xml:space="preserve">1</w:t>
    </w:r>
    <w:r>
      <w:rPr>
        <w:b/>
        <w:bCs/>
        <w:sz w:val="24"/>
        <w:szCs w:val="24"/>
      </w:rPr>
      <w:fldChar w:fldCharType="end"/>
    </w:r>
    <w:r>
      <w:rPr>
        <w:lang w:val="zh-CN"/>
      </w:rPr>
      <w:t xml:space="preserve"> / </w:t>
    </w:r>
    <w:r>
      <w:rPr>
        <w:b/>
        <w:bCs/>
      </w:rPr>
      <w:fldChar w:fldCharType="begin"/>
    </w:r>
    <w:r>
      <w:rPr>
        <w:b/>
        <w:bCs/>
      </w:rPr>
      <w:instrText xml:space="preserve">NUMPAGES</w:instrText>
    </w:r>
    <w:r>
      <w:rPr>
        <w:b/>
        <w:bCs/>
        <w:sz w:val="24"/>
        <w:szCs w:val="24"/>
      </w:rPr>
      <w:fldChar w:fldCharType="separate"/>
    </w:r>
    <w:r>
      <w:rPr>
        <w:b/>
        <w:bCs/>
      </w:rPr>
      <w:t xml:space="preserve">1</w:t>
    </w:r>
    <w:r>
      <w:rPr>
        <w:b/>
        <w:bCs/>
        <w:sz w:val="24"/>
        <w:szCs w:val="24"/>
      </w:rPr>
      <w:fldChar w:fldCharType="end"/>
    </w:r>
  </w:p>
  <w:p>
    <w:pPr>
      <w:pStyle w:val="Footer"/>
    </w:pPr>
  </w:p>
</w:ftr>
</file>

<file path=word/header1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p>
    <w:pPr>
      <w:pStyle w:val="Header"/>
    </w:pPr>
    <w:r>
      <w:drawing>
        <wp:anchor distT="0" distB="0" distL="114300" distR="114300" simplePos="0" relativeHeight="251660288" behindDoc="1" locked="0" layoutInCell="0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14444345" cy="10958195"/>
          <wp:effectExtent l="0" t="0" r="14605" b="14605"/>
          <wp:wrapNone/>
          <wp:docPr id="29" name="WordPictureWatermark367128482" descr="苏银理财"/>
          <wp:cNvGraphicFramePr>
            <a:graphicFrameLocks xmlns:a="http://schemas.openxmlformats.org/drawingml/2006/main" noChangeAspect="1"/>
          </wp:cNvGraphicFramePr>
          <a:graphic>
            <a:graphicData uri="http://schemas.openxmlformats.org/drawingml/2006/picture">
              <pic:pic>
                <pic:nvPicPr>
                  <pic:cNvPr id="0" name="WordPictureWatermark367128482"/>
                  <pic:cNvPicPr/>
                </pic:nvPicPr>
                <pic:blipFill>
                  <a:blip r:embed="rId1">
                    <a:lum bright="70001" contrast="-70000"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44345" cy="109581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p>
    <w:pPr>
      <w:pStyle w:val="BodyText"/>
      <w:kinsoku w:val="0"/>
      <w:overflowPunct w:val="0"/>
      <w:spacing w:before="0" w:line="320" w:lineRule="exact"/>
      <w:ind w:left="20"/>
      <w:jc w:val="both"/>
      <w:rPr>
        <w:rFonts w:ascii="楷体" w:eastAsia="楷体" w:hAnsi="楷体" w:cs="黑体"/>
        <w:b/>
        <w:spacing w:val="-2"/>
        <w:sz w:val="24"/>
        <w:szCs w:val="24"/>
      </w:rPr>
    </w:pPr>
    <w:r>
      <w:rPr>
        <w:rFonts w:ascii="楷体" w:eastAsia="楷体" w:hAnsi="楷体"/>
        <w:b/>
      </w:rPr>
      <w:drawing>
        <wp:anchor distT="0" distB="0" distL="114300" distR="114300" simplePos="0" relativeHeight="251661312" behindDoc="1" locked="0" layoutInCell="0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14444345" cy="10958195"/>
          <wp:effectExtent l="0" t="0" r="14605" b="14605"/>
          <wp:wrapNone/>
          <wp:docPr id="30" name="WordPictureWatermark367128483" descr="苏银理财"/>
          <wp:cNvGraphicFramePr>
            <a:graphicFrameLocks xmlns:a="http://schemas.openxmlformats.org/drawingml/2006/main" noChangeAspect="1"/>
          </wp:cNvGraphicFramePr>
          <a:graphic>
            <a:graphicData uri="http://schemas.openxmlformats.org/drawingml/2006/picture">
              <pic:pic>
                <pic:nvPicPr>
                  <pic:cNvPr id="0" name="WordPictureWatermark367128483"/>
                  <pic:cNvPicPr/>
                </pic:nvPicPr>
                <pic:blipFill>
                  <a:blip r:embed="rId1">
                    <a:lum bright="70001" contrast="-70000"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44345" cy="109581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3923665</wp:posOffset>
          </wp:positionH>
          <wp:positionV relativeFrom="paragraph">
            <wp:posOffset>-95250</wp:posOffset>
          </wp:positionV>
          <wp:extent cx="1325245" cy="424815"/>
          <wp:effectExtent l="0" t="0" r="8255" b="13335"/>
          <wp:wrapSquare wrapText="bothSides"/>
          <wp:docPr id="31" name="图片 1" descr="说明: 说明: C:\Users\JSYH\Desktop\苏银理财.png"/>
          <wp:cNvGraphicFramePr>
            <a:graphicFrameLocks xmlns:a="http://schemas.openxmlformats.org/drawingml/2006/main" noChangeAspect="1"/>
          </wp:cNvGraphicFramePr>
          <a:graphic>
            <a:graphicData uri="http://schemas.openxmlformats.org/drawingml/2006/picture">
              <pic:pic>
                <pic:nvPicPr>
                  <pic:cNvPr id="0" name="图片 1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325245" cy="424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ascii="楷体" w:eastAsia="楷体" w:hAnsi="楷体" w:cs="黑体" w:hint="eastAsia"/>
        <w:b/>
        <w:bCs/>
        <w:spacing w:val="-2"/>
        <w:sz w:val="24"/>
        <w:szCs w:val="24"/>
      </w:rPr>
      <w:t xml:space="preserve">理财非存款、产品有风险、投资须谨慎</w:t>
    </w:r>
  </w:p>
</w:hdr>
</file>

<file path=word/header3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p>
    <w:pPr>
      <w:pStyle w:val="Header"/>
    </w:pPr>
    <w:r>
      <w:drawing>
        <wp:anchor distT="0" distB="0" distL="114300" distR="114300" simplePos="0" relativeHeight="251659264" behindDoc="1" locked="0" layoutInCell="0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14444345" cy="10958195"/>
          <wp:effectExtent l="0" t="0" r="14605" b="14605"/>
          <wp:wrapNone/>
          <wp:docPr id="32" name="WordPictureWatermark367128481" descr="苏银理财"/>
          <wp:cNvGraphicFramePr>
            <a:graphicFrameLocks xmlns:a="http://schemas.openxmlformats.org/drawingml/2006/main" noChangeAspect="1"/>
          </wp:cNvGraphicFramePr>
          <a:graphic>
            <a:graphicData uri="http://schemas.openxmlformats.org/drawingml/2006/picture">
              <pic:pic>
                <pic:nvPicPr>
                  <pic:cNvPr id="0" name="WordPictureWatermark367128481"/>
                  <pic:cNvPicPr/>
                </pic:nvPicPr>
                <pic:blipFill>
                  <a:blip r:embed="rId1">
                    <a:lum bright="70001" contrast="-70000"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44345" cy="109581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multiLevelType w:val="multilevel"/>
    <w:lvl w:ilvl="0">
      <w:start w:val="1"/>
      <w:numFmt w:val="decimal"/>
      <w:suff w:val="tab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suff w:val="tab"/>
      <w:lvlText w:val="%2."/>
      <w:lvlJc w:val="right"/>
      <w:pPr>
        <w:ind w:left="180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suff w:val="tab"/>
      <w:lvlText w:val="%3."/>
      <w:lvlJc w:val="left"/>
      <w:pPr>
        <w:ind w:left="252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suff w:val="tab"/>
      <w:lvlText w:val="%4."/>
      <w:lvlJc w:val="left"/>
      <w:pPr>
        <w:ind w:left="324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suff w:val="tab"/>
      <w:lvlText w:val="%5."/>
      <w:lvlJc w:val="right"/>
      <w:pPr>
        <w:ind w:left="396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suff w:val="tab"/>
      <w:lvlText w:val="%6."/>
      <w:lvlJc w:val="left"/>
      <w:pPr>
        <w:ind w:left="468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suff w:val="tab"/>
      <w:lvlText w:val="%7."/>
      <w:lvlJc w:val="left"/>
      <w:pPr>
        <w:ind w:left="540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suff w:val="tab"/>
      <w:lvlText w:val="%8."/>
      <w:lvlJc w:val="right"/>
      <w:pPr>
        <w:ind w:left="612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suff w:val="tab"/>
      <w:lvlText w:val="%9."/>
      <w:lvlJc w:val="left"/>
      <w:pPr>
        <w:ind w:left="6840" w:hanging="360"/>
      </w:pPr>
      <w:rPr>
        <w:rFonts w:ascii="Times New Roman" w:eastAsia="Times New Roman" w:hAnsi="Times New Roman" w:cs="Times New Roman"/>
      </w:rPr>
    </w:lvl>
  </w:abstractNum>
  <w:abstractNum w:abstractNumId="1">
    <w:multiLevelType w:val="multilevel"/>
    <w:lvl w:ilvl="0">
      <w:start w:val="1"/>
      <w:numFmt w:val="bullet"/>
      <w:suff w:val="tab"/>
      <w:lvlText w:val=""/>
      <w:lvlJc w:val="left"/>
      <w:pPr>
        <w:ind w:left="1080" w:hanging="360"/>
      </w:pPr>
      <w:rPr>
        <w:rFonts w:ascii="Symbol" w:eastAsia="Symbol" w:hAnsi="Symbol" w:cs="Symbol"/>
      </w:rPr>
    </w:lvl>
    <w:lvl w:ilvl="1">
      <w:start w:val="1"/>
      <w:numFmt w:val="bullet"/>
      <w:suff w:val="tab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suff w:val="tab"/>
      <w:lvlText w:val=""/>
      <w:lvlJc w:val="left"/>
      <w:pPr>
        <w:ind w:left="2520" w:hanging="360"/>
      </w:pPr>
      <w:rPr>
        <w:rFonts w:ascii="Wingdings" w:eastAsia="Wingdings" w:hAnsi="Wingdings" w:cs="Wingdings"/>
      </w:rPr>
    </w:lvl>
    <w:lvl w:ilvl="3">
      <w:start w:val="1"/>
      <w:numFmt w:val="bullet"/>
      <w:suff w:val="tab"/>
      <w:lvlText w:val=""/>
      <w:lvlJc w:val="left"/>
      <w:pPr>
        <w:ind w:left="3240" w:hanging="360"/>
      </w:pPr>
      <w:rPr>
        <w:rFonts w:ascii="Symbol" w:eastAsia="Symbol" w:hAnsi="Symbol" w:cs="Symbol"/>
      </w:rPr>
    </w:lvl>
    <w:lvl w:ilvl="4">
      <w:start w:val="1"/>
      <w:numFmt w:val="bullet"/>
      <w:suff w:val="tab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suff w:val="tab"/>
      <w:lvlText w:val=""/>
      <w:lvlJc w:val="left"/>
      <w:pPr>
        <w:ind w:left="4680" w:hanging="360"/>
      </w:pPr>
      <w:rPr>
        <w:rFonts w:ascii="Wingdings" w:eastAsia="Wingdings" w:hAnsi="Wingdings" w:cs="Wingdings"/>
      </w:rPr>
    </w:lvl>
    <w:lvl w:ilvl="6">
      <w:start w:val="1"/>
      <w:numFmt w:val="bullet"/>
      <w:suff w:val="tab"/>
      <w:lvlText w:val=""/>
      <w:lvlJc w:val="left"/>
      <w:pPr>
        <w:ind w:left="5400" w:hanging="360"/>
      </w:pPr>
      <w:rPr>
        <w:rFonts w:ascii="Symbol" w:eastAsia="Symbol" w:hAnsi="Symbol" w:cs="Symbol"/>
      </w:rPr>
    </w:lvl>
    <w:lvl w:ilvl="7">
      <w:start w:val="1"/>
      <w:numFmt w:val="bullet"/>
      <w:suff w:val="tab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suff w:val="tab"/>
      <w:lvlText w:val=""/>
      <w:lvlJc w:val="left"/>
      <w:pPr>
        <w:ind w:left="6840" w:hanging="360"/>
      </w:pPr>
      <w:rPr>
        <w:rFonts w:ascii="Wingdings" w:eastAsia="Wingdings" w:hAnsi="Wingdings" w:cs="Wingdings"/>
      </w:rPr>
    </w:lvl>
  </w:abstractNum>
  <w:abstractNum w:abstractNumId="2">
    <w:multiLevelType w:val="singleLevel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14="http://schemas.microsoft.com/office/word/2010/wordml" xmlns:sl="http://schemas.openxmlformats.org/schemaLibrary/2006/main" xmlns:w="http://schemas.openxmlformats.org/wordprocessingml/2006/main" mc:Ignorable="w14">
  <w:zoom w:percent="110"/>
  <w:bordersDoNotSurroundFooter w:val="0"/>
  <w:bordersDoNotSurroundHeader w:val="0"/>
  <w:doNotTrackMoves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doNotFlipMirrorIndents" w:uri="http://schemas.microsoft.com/office/word" w:val="1"/>
    <w:compatSetting w:name="enableOpenTypeFeatures" w:uri="http://schemas.microsoft.com/office/word" w:val="1"/>
    <w:compatSetting w:name="overrideTableStyleFontSizeAndJustification" w:uri="http://schemas.microsoft.com/office/word" w:val="1"/>
    <w:compatSetting w:name="compatibilityMode" w:uri="http://schemas.microsoft.com/office/word" w:val="14"/>
  </w:compat>
  <m:mathPr>
    <m:brkBin m:val="before"/>
    <m:brkBinSub m:val="--"/>
    <m:lMargin m:val="0"/>
    <m:rMargin m:val="0"/>
    <m:defJc m:val="centerGroup"/>
    <m:preSp m:val="0"/>
    <m:postSp m:val="0"/>
    <m:interSp m:val="0"/>
    <m:intraSp m:val="0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1" w:unhideWhenUsed="0" w:qFormat="1"/>
    <w:lsdException w:name="heading 2" w:semiHidden="0" w:uiPriority="9" w:unhideWhenUsed="0" w:qFormat="1"/>
    <w:lsdException w:name="heading 3" w:semiHidden="0" w:uiPriority="1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 w:semiHidden="0" w:qFormat="1"/>
    <w:lsdException w:name="header" w:semiHidden="0" w:qFormat="1"/>
    <w:lsdException w:name="footer" w:semiHidden="0" w:qFormat="1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 w:semiHidden="0" w:qFormat="1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semiHidden="0" w:uiPriority="1" w:qFormat="1"/>
    <w:lsdException w:name="Body Text" w:semiHidden="0" w:uiPriority="1" w:unhideWhenUsed="0" w:qFormat="1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 w:semiHidden="0" w:qFormat="1"/>
    <w:lsdException w:name="Body Text First Indent"/>
    <w:lsdException w:name="Body Text First Indent 2"/>
    <w:lsdException w:name="Body Text 2"/>
    <w:lsdException w:name="Body Text 3"/>
    <w:lsdException w:name="Body Text Indent 2"/>
    <w:lsdException w:name="Body Text Indent 3"/>
    <w:lsdException w:name="Block Text"/>
    <w:lsdException w:name="Hyperlink" w:semiHidden="0" w:qFormat="1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Normal (Web)" w:semiHidden="0" w:qFormat="1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Variable"/>
    <w:lsdException w:name="Normal Table" w:semiHidden="0" w:qFormat="1"/>
    <w:lsdException w:name="annotation subject" w:semiHidden="0" w:qFormat="1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 w:semiHidden="0" w:qFormat="1"/>
    <w:lsdException w:name="Table Grid" w:semiHidden="0" w:uiPriority="59" w:unhideWhenUsed="0" w:qFormat="1"/>
    <w:lsdException w:name="Table Theme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72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next w:val="Heading3"/>
    <w:qFormat/>
    <w:pPr>
      <w:widowControl w:val="0"/>
      <w:jc w:val="both"/>
    </w:pPr>
    <w:rPr>
      <w:rFonts w:ascii="宋体" w:eastAsia="宋体" w:hAnsi="宋体" w:cs="宋体"/>
      <w:kern w:val="2"/>
      <w:sz w:val="28"/>
      <w:szCs w:val="22"/>
      <w:lang w:val="en-US" w:eastAsia="zh-CN" w:bidi="ar-SA"/>
    </w:rPr>
  </w:style>
  <w:style w:type="paragraph" w:styleId="Heading1">
    <w:name w:val="Heading 1"/>
    <w:basedOn w:val="Normal"/>
    <w:next w:val="Normal"/>
    <w:uiPriority w:val="1"/>
    <w:qFormat/>
    <w:pPr>
      <w:autoSpaceDE w:val="0"/>
      <w:autoSpaceDN w:val="0"/>
      <w:adjustRightInd w:val="0"/>
      <w:spacing w:before="17"/>
      <w:ind w:left="1144"/>
      <w:jc w:val="left"/>
      <w:outlineLvl w:val="0"/>
    </w:pPr>
    <w:rPr>
      <w:rFonts w:ascii="黑体" w:eastAsia="黑体" w:hAnsi="Times New Roman"/>
      <w:b/>
      <w:bCs/>
      <w:kern w:val="0"/>
      <w:sz w:val="36"/>
      <w:szCs w:val="36"/>
    </w:rPr>
  </w:style>
  <w:style w:type="paragraph" w:styleId="Heading2">
    <w:name w:val="Heading 2"/>
    <w:basedOn w:val="Normal"/>
    <w:next w:val="Normal"/>
    <w:uiPriority w:val="9"/>
    <w:qFormat/>
    <w:pPr>
      <w:keepNext/>
      <w:keepLines/>
      <w:spacing w:before="260" w:after="260" w:line="416" w:lineRule="auto"/>
      <w:outlineLvl w:val="1"/>
    </w:pPr>
    <w:rPr>
      <w:rFonts w:ascii="Cambria" w:hAnsi="Cambria"/>
      <w:b/>
      <w:bCs/>
      <w:kern w:val="0"/>
      <w:sz w:val="32"/>
      <w:szCs w:val="32"/>
    </w:rPr>
  </w:style>
  <w:style w:type="paragraph" w:styleId="Heading3">
    <w:name w:val="Heading 3"/>
    <w:basedOn w:val="Normal"/>
    <w:next w:val="Normal"/>
    <w:uiPriority w:val="1"/>
    <w:qFormat/>
    <w:pPr>
      <w:autoSpaceDE w:val="0"/>
      <w:autoSpaceDN w:val="0"/>
      <w:adjustRightInd w:val="0"/>
      <w:spacing w:before="34"/>
      <w:ind w:left="120"/>
      <w:jc w:val="left"/>
      <w:outlineLvl w:val="2"/>
    </w:pPr>
    <w:rPr>
      <w:rFonts w:ascii="宋体" w:hAnsi="Times New Roman"/>
      <w:b/>
      <w:bCs/>
      <w:kern w:val="0"/>
      <w:sz w:val="20"/>
      <w:szCs w:val="21"/>
    </w:rPr>
  </w:style>
  <w:style w:type="character" w:default="1" w:styleId="DefaultParagraphFont">
    <w:name w:val="Default Paragraph Font"/>
    <w:uiPriority w:val="1"/>
    <w:unhideWhenUsed/>
    <w:qFormat/>
    <w:rPr/>
  </w:style>
  <w:style w:type="table" w:default="1" w:styleId="TableNormal">
    <w:name w:val="Normal Table"/>
    <w:uiPriority w:val="99"/>
    <w:unhideWhenUsed/>
    <w:qFormat/>
    <w:rPr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annotationtext">
    <w:name w:val="annotation text"/>
    <w:basedOn w:val="Normal"/>
    <w:uiPriority w:val="99"/>
    <w:unhideWhenUsed/>
    <w:qFormat/>
    <w:pPr>
      <w:jc w:val="left"/>
    </w:pPr>
    <w:rPr/>
  </w:style>
  <w:style w:type="paragraph" w:styleId="BodyText">
    <w:name w:val="Body Text"/>
    <w:basedOn w:val="Normal"/>
    <w:uiPriority w:val="1"/>
    <w:qFormat/>
    <w:pPr>
      <w:autoSpaceDE w:val="0"/>
      <w:autoSpaceDN w:val="0"/>
      <w:adjustRightInd w:val="0"/>
      <w:spacing w:before="162"/>
      <w:ind w:left="120"/>
      <w:jc w:val="left"/>
    </w:pPr>
    <w:rPr>
      <w:rFonts w:ascii="宋体" w:hAnsi="Times New Roman"/>
      <w:kern w:val="0"/>
      <w:sz w:val="20"/>
      <w:szCs w:val="21"/>
    </w:rPr>
  </w:style>
  <w:style w:type="paragraph" w:styleId="Date">
    <w:name w:val="Date"/>
    <w:basedOn w:val="Normal"/>
    <w:next w:val="Normal"/>
    <w:uiPriority w:val="99"/>
    <w:unhideWhenUsed/>
    <w:qFormat/>
    <w:pPr>
      <w:ind w:left="100" w:leftChars="2500"/>
    </w:pPr>
    <w:rPr/>
  </w:style>
  <w:style w:type="paragraph" w:styleId="BalloonText">
    <w:name w:val="Balloon Text"/>
    <w:basedOn w:val="Normal"/>
    <w:uiPriority w:val="99"/>
    <w:unhideWhenUsed/>
    <w:qFormat/>
    <w:rPr>
      <w:kern w:val="0"/>
      <w:sz w:val="18"/>
      <w:szCs w:val="18"/>
    </w:rPr>
  </w:style>
  <w:style w:type="paragraph" w:styleId="Footer">
    <w:name w:val="Footer"/>
    <w:basedOn w:val="Normal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Header">
    <w:name w:val="Header"/>
    <w:basedOn w:val="Normal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Normal(Web)">
    <w:name w:val="Normal (Web)"/>
    <w:basedOn w:val="Normal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nnotationsubject">
    <w:name w:val="annotation subject"/>
    <w:basedOn w:val="annotationtext"/>
    <w:uiPriority w:val="99"/>
    <w:unhideWhenUsed/>
    <w:qFormat/>
    <w:rPr>
      <w:b/>
      <w:bCs/>
    </w:rPr>
  </w:style>
  <w:style w:type="table" w:styleId="TableGrid">
    <w:name w:val="Table Grid"/>
    <w:basedOn w:val="TableNormal"/>
    <w:uiPriority w:val="59"/>
    <w:qFormat/>
    <w:pPr>
      <w:widowControl w:val="0"/>
      <w:jc w:val="both"/>
    </w:pPr>
    <w:rPr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uiPriority w:val="22"/>
    <w:qFormat/>
    <w:rPr>
      <w:b/>
      <w:bCs/>
    </w:rPr>
  </w:style>
  <w:style w:type="character" w:styleId="Hyperlink">
    <w:name w:val="Hyperlink"/>
    <w:uiPriority w:val="99"/>
    <w:unhideWhenUsed/>
    <w:qFormat/>
    <w:rPr>
      <w:color w:val="0000FF"/>
      <w:u w:val="single"/>
    </w:rPr>
  </w:style>
  <w:style w:type="character" w:styleId="annotationreference">
    <w:name w:val="annotation reference"/>
    <w:uiPriority w:val="99"/>
    <w:unhideWhenUsed/>
    <w:qFormat/>
    <w:rPr>
      <w:sz w:val="21"/>
      <w:szCs w:val="21"/>
    </w:rPr>
  </w:style>
  <w:style w:type="character" w:customStyle="1" w:styleId="标题3Char">
    <w:name w:val="标题 3 Char"/>
    <w:link w:val="Heading3"/>
    <w:uiPriority w:val="1"/>
    <w:qFormat/>
    <w:rPr>
      <w:rFonts w:ascii="宋体" w:eastAsia="宋体" w:hAnsi="Times New Roman" w:cs="宋体"/>
      <w:b/>
      <w:bCs/>
      <w:kern w:val="0"/>
      <w:szCs w:val="21"/>
    </w:rPr>
  </w:style>
  <w:style w:type="character" w:customStyle="1" w:styleId="标题1Char">
    <w:name w:val="标题 1 Char"/>
    <w:link w:val="Heading1"/>
    <w:uiPriority w:val="1"/>
    <w:qFormat/>
    <w:rPr>
      <w:rFonts w:ascii="黑体" w:eastAsia="黑体" w:hAnsi="Times New Roman" w:cs="黑体"/>
      <w:b/>
      <w:bCs/>
      <w:kern w:val="0"/>
      <w:sz w:val="36"/>
      <w:szCs w:val="36"/>
    </w:rPr>
  </w:style>
  <w:style w:type="character" w:customStyle="1" w:styleId="标题2Char">
    <w:name w:val="标题 2 Char"/>
    <w:link w:val="Heading2"/>
    <w:uiPriority w:val="9"/>
    <w:qFormat/>
    <w:rPr>
      <w:rFonts w:ascii="Cambria" w:eastAsia="宋体" w:hAnsi="Cambria" w:cs="Times New Roman"/>
      <w:b/>
      <w:bCs/>
      <w:sz w:val="32"/>
      <w:szCs w:val="32"/>
    </w:rPr>
  </w:style>
  <w:style w:type="character" w:customStyle="1" w:styleId="批注文字Char">
    <w:name w:val="批注文字 Char"/>
    <w:uiPriority w:val="99"/>
    <w:qFormat/>
    <w:rPr>
      <w:kern w:val="2"/>
      <w:sz w:val="21"/>
      <w:szCs w:val="22"/>
    </w:rPr>
  </w:style>
  <w:style w:type="character" w:customStyle="1" w:styleId="正文文本Char">
    <w:name w:val="正文文本 Char"/>
    <w:uiPriority w:val="1"/>
    <w:qFormat/>
    <w:rPr>
      <w:rFonts w:ascii="宋体" w:eastAsia="宋体" w:hAnsi="Times New Roman" w:cs="宋体"/>
      <w:kern w:val="0"/>
      <w:szCs w:val="21"/>
    </w:rPr>
  </w:style>
  <w:style w:type="character" w:customStyle="1" w:styleId="日期Char">
    <w:name w:val="日期 Char"/>
    <w:basedOn w:val="DefaultParagraphFont"/>
    <w:uiPriority w:val="99"/>
    <w:semiHidden/>
    <w:qFormat/>
    <w:rPr/>
  </w:style>
  <w:style w:type="character" w:customStyle="1" w:styleId="批注框文本Char">
    <w:name w:val="批注框文本 Char"/>
    <w:uiPriority w:val="99"/>
    <w:semiHidden/>
    <w:qFormat/>
    <w:rPr>
      <w:sz w:val="18"/>
      <w:szCs w:val="18"/>
    </w:rPr>
  </w:style>
  <w:style w:type="character" w:customStyle="1" w:styleId="页脚Char">
    <w:name w:val="页脚 Char"/>
    <w:link w:val="日期Char"/>
    <w:uiPriority w:val="99"/>
    <w:qFormat/>
    <w:rPr>
      <w:sz w:val="18"/>
      <w:szCs w:val="18"/>
    </w:rPr>
  </w:style>
  <w:style w:type="character" w:customStyle="1" w:styleId="页眉Char">
    <w:name w:val="页眉 Char"/>
    <w:link w:val="正文文本Char"/>
    <w:uiPriority w:val="99"/>
    <w:qFormat/>
    <w:rPr>
      <w:sz w:val="18"/>
      <w:szCs w:val="18"/>
    </w:rPr>
  </w:style>
  <w:style w:type="character" w:customStyle="1" w:styleId="批注主题Char">
    <w:name w:val="批注主题 Char"/>
    <w:uiPriority w:val="99"/>
    <w:semiHidden/>
    <w:qFormat/>
    <w:rPr>
      <w:b/>
      <w:bCs/>
      <w:kern w:val="2"/>
      <w:sz w:val="21"/>
      <w:szCs w:val="22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宋体" w:eastAsia="宋体" w:hAnsi="宋体" w:cs="宋体"/>
      <w:color w:val="000000"/>
      <w:sz w:val="24"/>
      <w:szCs w:val="24"/>
      <w:lang w:val="en-US" w:eastAsia="zh-CN" w:bidi="ar-SA"/>
    </w:rPr>
  </w:style>
  <w:style w:type="paragraph" w:customStyle="1" w:styleId="TableParagraph">
    <w:name w:val="Table Paragraph"/>
    <w:basedOn w:val="Normal"/>
    <w:uiPriority w:val="1"/>
    <w:qFormat/>
    <w:pPr>
      <w:autoSpaceDE w:val="0"/>
      <w:autoSpaceDN w:val="0"/>
      <w:adjustRightInd w:val="0"/>
      <w:jc w:val="left"/>
    </w:pPr>
    <w:rPr>
      <w:rFonts w:ascii="Times New Roman" w:hAnsi="Times New Roman" w:cs="Times New Roman"/>
      <w:kern w:val="0"/>
      <w:sz w:val="24"/>
      <w:szCs w:val="24"/>
    </w:rPr>
  </w:style>
  <w:style w:type="paragraph" w:styleId="ListParagraph">
    <w:name w:val="List Paragraph"/>
    <w:basedOn w:val="Normal"/>
    <w:uiPriority w:val="72"/>
    <w:qFormat/>
    <w:pPr>
      <w:ind w:firstLine="420" w:firstLineChars="200"/>
    </w:pPr>
    <w:rPr/>
  </w:style>
  <w:style w:type="paragraph" w:customStyle="1" w:styleId="_Style31">
    <w:name w:val="_Style 31"/>
    <w:uiPriority w:val="99"/>
    <w:semiHidden/>
    <w:qFormat/>
    <w:rPr>
      <w:rFonts w:ascii="Times New Roman" w:eastAsia="宋体" w:hAnsi="Times New Roman" w:cs="Times New Roman"/>
      <w:kern w:val="2"/>
      <w:sz w:val="21"/>
      <w:szCs w:val="22"/>
      <w:lang w:val="en-US" w:eastAsia="zh-CN" w:bidi="ar-SA"/>
    </w:r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&#65279;<?xml version="1.0" encoding="utf-8"?><Relationships xmlns="http://schemas.openxmlformats.org/package/2006/relationships"><Relationship Id="rId1" Type="http://schemas.openxmlformats.org/officeDocument/2006/relationships/customXml" Target="../customXml/item1.xml" /><Relationship Id="rId10" Type="http://schemas.openxmlformats.org/officeDocument/2006/relationships/webSettings" Target="webSettings.xml" /><Relationship Id="rId11" Type="http://schemas.openxmlformats.org/officeDocument/2006/relationships/numbering" Target="numbering.xml" /><Relationship Id="rId12" Type="http://schemas.openxmlformats.org/officeDocument/2006/relationships/fontTable" Target="fontTable.xml" /><Relationship Id="rId13" Type="http://schemas.openxmlformats.org/officeDocument/2006/relationships/settings" Target="settings.xml" /><Relationship Id="rId2" Type="http://schemas.openxmlformats.org/officeDocument/2006/relationships/customXml" Target="../customXml/item2.xml" /><Relationship Id="rId3" Type="http://schemas.openxmlformats.org/officeDocument/2006/relationships/customXml" Target="../customXml/item3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header" Target="header3.xml" /><Relationship Id="rId7" Type="http://schemas.openxmlformats.org/officeDocument/2006/relationships/footer" Target="footer1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_rels/header1.xml.rels>&#65279;<?xml version="1.0" encoding="utf-8"?><Relationships xmlns="http://schemas.openxmlformats.org/package/2006/relationships"><Relationship Id="rId1" Type="http://schemas.openxmlformats.org/officeDocument/2006/relationships/image" Target="media/image1.png" /></Relationships>
</file>

<file path=word/_rels/header2.xml.rels>&#65279;<?xml version="1.0" encoding="utf-8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_rels/header3.xml.rels>&#65279;<?xml version="1.0" encoding="utf-8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&#65279;<?xml version="1.0" encoding="utf-8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&#65279;<?xml version="1.0" encoding="utf-8"?><Relationships xmlns="http://schemas.openxmlformats.org/package/2006/relationships"><Relationship Id="rId1" Type="http://schemas.openxmlformats.org/officeDocument/2006/relationships/customXmlProps" Target="itemProps3.xml" /></Relationships>
</file>

<file path=customXml/item1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2021-11-18T08:47:00Z</dcterms:created>
  <dc:creator>JSYH</dc:creator>
  <cp:lastModifiedBy>User</cp:lastModifiedBy>
  <cp:lastPrinted>2022-01-26T09:24:00Z</cp:lastPrinted>
  <dcterms:modified xsi:type="dcterms:W3CDTF">2026-07-02T02:29:24Z</dcterms:modified>
  <cp:revision>7</cp:revision>
</cp:coreProperties>
</file>

<file path=customXml/item2.xml><?xml version="1.0" encoding="utf-8"?>
<Properties xmlns="http://schemas.openxmlformats.org/officeDocument/2006/extended-properties" xmlns:vt="http://schemas.openxmlformats.org/officeDocument/2006/docPropsVTypes">
  <Template>Normal</Template>
  <Pages>1</Pages>
  <Words>295</Words>
  <Characters>328</Characters>
  <Lines>2</Lines>
  <Paragraphs>1</Paragraphs>
  <TotalTime>0</TotalTime>
  <ScaleCrop>false</ScaleCrop>
  <LinksUpToDate>false</LinksUpToDate>
  <CharactersWithSpaces>360</CharactersWithSpaces>
  <Application>WPS Office_11.8.2.11734_F1E327BC-269C-435d-A152-05C5408002CA</Application>
  <DocSecurity>0</DocSecurity>
</Properties>
</file>

<file path=customXml/item3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2052-11.8.2.11734</vt:lpwstr>
  </property>
  <property fmtid="{D5CDD505-2E9C-101B-9397-08002B2CF9AE}" pid="3" name="ICV">
    <vt:lpwstr>507990E6C87E4C9FB165BE2A1C0D888A</vt:lpwstr>
  </property>
</Properties>
</file>

<file path=customXml/itemProps1.xml><?xml version="1.0" encoding="utf-8"?>
<ds:datastoreItem xmlns:ds="http://schemas.openxmlformats.org/officeDocument/2006/customXml" ds:itemID="">
  <ds:schemaRefs/>
</ds:datastoreItem>
</file>

<file path=customXml/itemProps2.xml><?xml version="1.0" encoding="utf-8"?>
<ds:datastoreItem xmlns:ds="http://schemas.openxmlformats.org/officeDocument/2006/customXml" ds:itemID="">
  <ds:schemaRefs/>
</ds:datastoreItem>
</file>

<file path=customXml/itemProps3.xml><?xml version="1.0" encoding="utf-8"?>
<ds:datastoreItem xmlns:ds="http://schemas.openxmlformats.org/officeDocument/2006/customXml" ds:itemID="">
  <ds:schemaRefs/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</Template>
  <TotalTime>0</TotalTime>
  <Pages>1</Pages>
  <Words>295</Words>
  <Characters>328</Characters>
  <Application>WPS Office_11.8.2.11734_F1E327BC-269C-435d-A152-05C5408002CA</Application>
  <DocSecurity>0</DocSecurity>
  <Lines>2</Lines>
  <Paragraphs>1</Paragraphs>
  <CharactersWithSpaces>360</CharactersWithSpaces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JSYH</dc:creator>
  <cp:lastModifiedBy>User</cp:lastModifiedBy>
  <cp:revision>7</cp:revision>
  <cp:lastPrinted>2022-01-26T09:24:00Z</cp:lastPrinted>
  <dcterms:created xsi:type="dcterms:W3CDTF">2021-11-18T08:47:00Z</dcterms:created>
  <dcterms:modified xsi:type="dcterms:W3CDTF">2026-09-15T01:37:33Z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KSOProductBuildVer">
    <vt:lpstr>2052-11.8.2.11734</vt:lpstr>
  </property>
  <property fmtid="{D5CDD505-2E9C-101B-9397-08002B2CF9AE}" pid="3" name="ICV">
    <vt:lpstr>507990E6C87E4C9FB165BE2A1C0D888A</vt:lpstr>
  </property>
</Properties>
</file>