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56" w:beforeLines="50"/>
        <w:jc w:val="center"/>
        <w:rPr>
          <w:rFonts w:ascii="楷体" w:hAnsi="楷体" w:eastAsia="楷体" w:cs="楷体"/>
          <w:b/>
          <w:bCs/>
          <w:color w:val="000000"/>
          <w:kern w:val="0"/>
          <w:sz w:val="32"/>
          <w:szCs w:val="32"/>
        </w:rPr>
      </w:pPr>
      <w:r>
        <w:rPr>
          <w:rFonts w:ascii="楷体" w:hAnsi="楷体" w:eastAsia="楷体"/>
          <w:b/>
          <w:sz w:val="36"/>
          <w:szCs w:val="36"/>
        </w:rPr>
        <w:t>苏银理财恒源季开放5号</w:t>
      </w:r>
    </w:p>
    <w:p>
      <w:pPr>
        <w:widowControl/>
        <w:spacing w:before="156" w:beforeLines="50"/>
        <w:jc w:val="center"/>
        <w:rPr>
          <w:rFonts w:hint="eastAsia" w:ascii="楷体" w:hAnsi="楷体" w:eastAsia="楷体"/>
          <w:b/>
          <w:sz w:val="36"/>
          <w:szCs w:val="36"/>
        </w:rPr>
      </w:pPr>
      <w:r>
        <w:rPr>
          <w:rFonts w:hint="eastAsia" w:ascii="楷体" w:hAnsi="楷体" w:eastAsia="楷体"/>
          <w:b/>
          <w:sz w:val="36"/>
          <w:szCs w:val="36"/>
        </w:rPr>
        <w:t>理财产品</w:t>
      </w:r>
      <w:r>
        <w:rPr>
          <w:rFonts w:hint="eastAsia" w:ascii="楷体" w:hAnsi="楷体" w:eastAsia="楷体"/>
          <w:b/>
          <w:sz w:val="36"/>
          <w:szCs w:val="36"/>
          <w:lang w:val="en-US" w:eastAsia="zh-CN"/>
        </w:rPr>
        <w:t>投资周期业绩</w:t>
      </w:r>
      <w:r>
        <w:rPr>
          <w:rFonts w:hint="eastAsia" w:ascii="楷体" w:hAnsi="楷体" w:eastAsia="楷体"/>
          <w:b/>
          <w:sz w:val="36"/>
          <w:szCs w:val="36"/>
        </w:rPr>
        <w:t>公告</w:t>
      </w:r>
    </w:p>
    <w:p>
      <w:pPr>
        <w:widowControl/>
        <w:spacing w:after="156" w:afterLines="50"/>
        <w:jc w:val="center"/>
        <w:rPr>
          <w:rFonts w:ascii="楷体" w:hAnsi="楷体" w:eastAsia="楷体" w:cs="楷体"/>
          <w:color w:val="000000"/>
          <w:kern w:val="0"/>
          <w:sz w:val="24"/>
          <w:szCs w:val="24"/>
        </w:rPr>
      </w:pPr>
    </w:p>
    <w:p>
      <w:pPr>
        <w:widowControl/>
        <w:rPr>
          <w:rFonts w:ascii="楷体" w:hAnsi="楷体" w:eastAsia="楷体" w:cs="楷体"/>
          <w:color w:val="000000"/>
          <w:kern w:val="0"/>
          <w:sz w:val="27"/>
          <w:szCs w:val="27"/>
        </w:rPr>
      </w:pPr>
      <w:r>
        <w:rPr>
          <w:rFonts w:hint="eastAsia" w:ascii="楷体" w:hAnsi="楷体" w:eastAsia="楷体" w:cs="楷体"/>
          <w:color w:val="000000"/>
          <w:kern w:val="0"/>
          <w:sz w:val="27"/>
          <w:szCs w:val="27"/>
        </w:rPr>
        <w:t>尊敬的客户：</w:t>
      </w:r>
    </w:p>
    <w:p>
      <w:pPr>
        <w:widowControl/>
        <w:spacing w:before="156" w:beforeLines="50"/>
        <w:ind w:firstLine="540" w:firstLineChars="200"/>
        <w:jc w:val="left"/>
        <w:rPr>
          <w:rFonts w:hint="eastAsia" w:ascii="楷体" w:hAnsi="楷体" w:eastAsia="楷体" w:cs="楷体"/>
          <w:color w:val="000000"/>
          <w:kern w:val="0"/>
          <w:sz w:val="27"/>
          <w:szCs w:val="27"/>
          <w:lang w:eastAsia="zh-CN"/>
        </w:rPr>
      </w:pPr>
      <w:r>
        <w:rPr>
          <w:rFonts w:hint="eastAsia" w:ascii="楷体" w:hAnsi="楷体" w:eastAsia="楷体" w:cs="楷体"/>
          <w:color w:val="000000"/>
          <w:kern w:val="0"/>
          <w:sz w:val="27"/>
          <w:szCs w:val="27"/>
          <w:lang w:val="en-US" w:eastAsia="zh-CN"/>
        </w:rPr>
        <w:t>本产品最新</w:t>
      </w:r>
      <w:r>
        <w:rPr>
          <w:rFonts w:hint="eastAsia" w:ascii="楷体" w:hAnsi="楷体" w:eastAsia="楷体" w:cs="楷体"/>
          <w:color w:val="000000"/>
          <w:kern w:val="0"/>
          <w:sz w:val="27"/>
          <w:szCs w:val="27"/>
        </w:rPr>
        <w:t>投资周期</w:t>
      </w:r>
      <w:r>
        <w:rPr>
          <w:rFonts w:hint="eastAsia" w:ascii="楷体" w:hAnsi="楷体" w:eastAsia="楷体" w:cs="楷体"/>
          <w:color w:val="000000"/>
          <w:kern w:val="0"/>
          <w:sz w:val="27"/>
          <w:szCs w:val="27"/>
          <w:lang w:eastAsia="zh-CN"/>
        </w:rPr>
        <w:t>（</w:t>
      </w:r>
      <w:r>
        <w:rPr>
          <w:rFonts w:ascii="楷体" w:hAnsi="楷体" w:eastAsia="楷体" w:cs="楷体"/>
          <w:color w:val="000000"/>
          <w:kern w:val="0"/>
          <w:sz w:val="27"/>
          <w:szCs w:val="27"/>
        </w:rPr>
        <w:t>2026</w:t>
      </w:r>
      <w:r>
        <w:rPr>
          <w:rFonts w:hint="eastAsia" w:ascii="楷体" w:hAnsi="楷体" w:eastAsia="楷体" w:cs="楷体"/>
          <w:color w:val="000000"/>
          <w:kern w:val="0"/>
          <w:sz w:val="27"/>
          <w:szCs w:val="27"/>
        </w:rPr>
        <w:t>年</w:t>
      </w:r>
      <w:r>
        <w:rPr>
          <w:rFonts w:ascii="楷体" w:hAnsi="楷体" w:eastAsia="楷体" w:cs="楷体"/>
          <w:color w:val="000000"/>
          <w:kern w:val="0"/>
          <w:sz w:val="27"/>
          <w:szCs w:val="27"/>
        </w:rPr>
        <w:t>4</w:t>
      </w:r>
      <w:r>
        <w:rPr>
          <w:rFonts w:hint="eastAsia" w:ascii="楷体" w:hAnsi="楷体" w:eastAsia="楷体" w:cs="楷体"/>
          <w:color w:val="000000"/>
          <w:kern w:val="0"/>
          <w:sz w:val="27"/>
          <w:szCs w:val="27"/>
        </w:rPr>
        <w:t>月</w:t>
      </w:r>
      <w:r>
        <w:rPr>
          <w:rFonts w:ascii="楷体" w:hAnsi="楷体" w:eastAsia="楷体" w:cs="楷体"/>
          <w:color w:val="000000"/>
          <w:kern w:val="0"/>
          <w:sz w:val="27"/>
          <w:szCs w:val="27"/>
        </w:rPr>
        <w:t>23</w:t>
      </w:r>
      <w:r>
        <w:rPr>
          <w:rFonts w:hint="eastAsia" w:ascii="楷体" w:hAnsi="楷体" w:eastAsia="楷体" w:cs="楷体"/>
          <w:color w:val="000000"/>
          <w:kern w:val="0"/>
          <w:sz w:val="27"/>
          <w:szCs w:val="27"/>
        </w:rPr>
        <w:t>日-</w:t>
      </w:r>
      <w:r>
        <w:rPr>
          <w:rFonts w:ascii="楷体" w:hAnsi="楷体" w:eastAsia="楷体" w:cs="楷体"/>
          <w:color w:val="000000"/>
          <w:kern w:val="0"/>
          <w:sz w:val="27"/>
          <w:szCs w:val="27"/>
        </w:rPr>
        <w:t>2026</w:t>
      </w:r>
      <w:r>
        <w:rPr>
          <w:rFonts w:hint="eastAsia" w:ascii="楷体" w:hAnsi="楷体" w:eastAsia="楷体" w:cs="楷体"/>
          <w:color w:val="000000"/>
          <w:kern w:val="0"/>
          <w:sz w:val="27"/>
          <w:szCs w:val="27"/>
        </w:rPr>
        <w:t>年</w:t>
      </w:r>
      <w:r>
        <w:rPr>
          <w:rFonts w:ascii="楷体" w:hAnsi="楷体" w:eastAsia="楷体" w:cs="楷体"/>
          <w:color w:val="000000"/>
          <w:kern w:val="0"/>
          <w:sz w:val="27"/>
          <w:szCs w:val="27"/>
        </w:rPr>
        <w:t>7</w:t>
      </w:r>
      <w:r>
        <w:rPr>
          <w:rFonts w:hint="eastAsia" w:ascii="楷体" w:hAnsi="楷体" w:eastAsia="楷体" w:cs="楷体"/>
          <w:color w:val="000000"/>
          <w:kern w:val="0"/>
          <w:sz w:val="27"/>
          <w:szCs w:val="27"/>
        </w:rPr>
        <w:t>月</w:t>
      </w:r>
      <w:r>
        <w:rPr>
          <w:rFonts w:ascii="楷体" w:hAnsi="楷体" w:eastAsia="楷体" w:cs="楷体"/>
          <w:color w:val="000000"/>
          <w:kern w:val="0"/>
          <w:sz w:val="27"/>
          <w:szCs w:val="27"/>
        </w:rPr>
        <w:t>29</w:t>
      </w:r>
      <w:r>
        <w:rPr>
          <w:rFonts w:hint="eastAsia" w:ascii="楷体" w:hAnsi="楷体" w:eastAsia="楷体" w:cs="楷体"/>
          <w:color w:val="000000"/>
          <w:kern w:val="0"/>
          <w:sz w:val="27"/>
          <w:szCs w:val="27"/>
        </w:rPr>
        <w:t>日</w:t>
      </w:r>
      <w:r>
        <w:rPr>
          <w:rFonts w:hint="eastAsia" w:ascii="楷体" w:hAnsi="楷体" w:eastAsia="楷体" w:cs="楷体"/>
          <w:color w:val="000000"/>
          <w:kern w:val="0"/>
          <w:sz w:val="27"/>
          <w:szCs w:val="27"/>
          <w:lang w:eastAsia="zh-CN"/>
        </w:rPr>
        <w:t>）</w:t>
      </w:r>
      <w:r>
        <w:rPr>
          <w:rFonts w:hint="eastAsia" w:ascii="楷体" w:hAnsi="楷体" w:eastAsia="楷体" w:cs="楷体"/>
          <w:color w:val="000000"/>
          <w:kern w:val="0"/>
          <w:sz w:val="27"/>
          <w:szCs w:val="27"/>
        </w:rPr>
        <w:t>业绩表现如下：</w:t>
      </w:r>
      <w:r>
        <w:rPr>
          <w:rFonts w:hint="eastAsia" w:ascii="楷体" w:hAnsi="楷体" w:eastAsia="楷体" w:cs="楷体"/>
          <w:color w:val="000000"/>
          <w:kern w:val="0"/>
          <w:sz w:val="27"/>
          <w:szCs w:val="27"/>
          <w:lang w:eastAsia="zh-CN"/>
        </w:rPr>
        <w:tab/>
      </w:r>
    </w:p>
    <w:tbl>
      <w:tblPr>
        <w:tblStyle w:val="7"/>
        <w:tblW w:w="85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3"/>
        <w:gridCol w:w="4118"/>
        <w:gridCol w:w="3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3" w:type="dxa"/>
            <w:vAlign w:val="center"/>
          </w:tcPr>
          <w:p>
            <w:pPr>
              <w:widowControl/>
              <w:jc w:val="center"/>
              <w:rPr>
                <w:rFonts w:hint="eastAsia" w:ascii="楷体" w:hAnsi="楷体" w:eastAsia="楷体" w:cs="楷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kern w:val="0"/>
                <w:szCs w:val="21"/>
              </w:rPr>
              <w:t>销售代码</w:t>
            </w:r>
          </w:p>
        </w:tc>
        <w:tc>
          <w:tcPr>
            <w:tcW w:w="4118" w:type="dxa"/>
            <w:vAlign w:val="center"/>
          </w:tcPr>
          <w:p>
            <w:pPr>
              <w:widowControl/>
              <w:jc w:val="center"/>
              <w:rPr>
                <w:rFonts w:hint="eastAsia" w:ascii="楷体" w:hAnsi="楷体" w:eastAsia="楷体" w:cs="楷体"/>
                <w:b/>
                <w:bCs/>
                <w:color w:val="000000"/>
                <w:kern w:val="0"/>
                <w:sz w:val="27"/>
                <w:szCs w:val="27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kern w:val="0"/>
                <w:szCs w:val="21"/>
              </w:rPr>
              <w:t>销售</w:t>
            </w:r>
            <w:r>
              <w:rPr>
                <w:rFonts w:hint="eastAsia" w:ascii="楷体" w:hAnsi="楷体" w:eastAsia="楷体" w:cs="楷体"/>
                <w:b/>
                <w:bCs/>
                <w:color w:val="000000"/>
                <w:kern w:val="0"/>
                <w:szCs w:val="21"/>
                <w:lang w:val="en-US" w:eastAsia="zh-CN"/>
              </w:rPr>
              <w:t>名称</w:t>
            </w:r>
          </w:p>
        </w:tc>
        <w:tc>
          <w:tcPr>
            <w:tcW w:w="3134" w:type="dxa"/>
            <w:vAlign w:val="center"/>
          </w:tcPr>
          <w:p>
            <w:pPr>
              <w:widowControl/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27"/>
                <w:szCs w:val="27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kern w:val="0"/>
                <w:szCs w:val="21"/>
              </w:rPr>
              <w:t>投资周期年化收益</w:t>
            </w:r>
            <w:r>
              <w:rPr>
                <w:rFonts w:hint="eastAsia" w:ascii="楷体" w:hAnsi="楷体" w:eastAsia="楷体" w:cs="楷体"/>
                <w:b/>
                <w:color w:val="000000"/>
                <w:kern w:val="0"/>
                <w:szCs w:val="21"/>
              </w:rPr>
              <w:t>率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J01563</w:t>
            </w:r>
          </w:p>
        </w:tc>
        <w:tc>
          <w:tcPr>
            <w:tcW w:w="4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苏银理财恒源季开放5号A</w:t>
            </w:r>
          </w:p>
        </w:tc>
        <w:tc>
          <w:tcPr>
            <w:tcW w:w="3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1.62%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J01583</w:t>
            </w:r>
          </w:p>
        </w:tc>
        <w:tc>
          <w:tcPr>
            <w:tcW w:w="4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苏银理财恒源季开放5号C</w:t>
            </w:r>
          </w:p>
        </w:tc>
        <w:tc>
          <w:tcPr>
            <w:tcW w:w="3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1.73%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J01584</w:t>
            </w:r>
          </w:p>
        </w:tc>
        <w:tc>
          <w:tcPr>
            <w:tcW w:w="4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苏银理财恒源季开放5号D</w:t>
            </w:r>
          </w:p>
        </w:tc>
        <w:tc>
          <w:tcPr>
            <w:tcW w:w="3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1.78%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J02549</w:t>
            </w:r>
          </w:p>
        </w:tc>
        <w:tc>
          <w:tcPr>
            <w:tcW w:w="4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苏银理财恒源季开放5号E</w:t>
            </w:r>
          </w:p>
        </w:tc>
        <w:tc>
          <w:tcPr>
            <w:tcW w:w="3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1.88%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J02102</w:t>
            </w:r>
          </w:p>
        </w:tc>
        <w:tc>
          <w:tcPr>
            <w:tcW w:w="4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苏银理财恒源季开放5号F</w:t>
            </w:r>
          </w:p>
        </w:tc>
        <w:tc>
          <w:tcPr>
            <w:tcW w:w="3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1.62%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J03648</w:t>
            </w:r>
          </w:p>
        </w:tc>
        <w:tc>
          <w:tcPr>
            <w:tcW w:w="4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苏银理财恒源季开放5号S</w:t>
            </w:r>
          </w:p>
        </w:tc>
        <w:tc>
          <w:tcPr>
            <w:tcW w:w="3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1.72%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J02831</w:t>
            </w:r>
          </w:p>
        </w:tc>
        <w:tc>
          <w:tcPr>
            <w:tcW w:w="4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苏银理财恒源季开放5号W</w:t>
            </w:r>
          </w:p>
        </w:tc>
        <w:tc>
          <w:tcPr>
            <w:tcW w:w="3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1.52%</w:t>
            </w:r>
          </w:p>
        </w:tc>
      </w:tr>
    </w:tbl>
    <w:p>
      <w:pPr>
        <w:widowControl/>
        <w:ind w:firstLine="540" w:firstLineChars="200"/>
        <w:jc w:val="left"/>
        <w:rPr>
          <w:rFonts w:ascii="楷体" w:hAnsi="楷体" w:eastAsia="楷体" w:cs="楷体"/>
          <w:color w:val="000000"/>
          <w:kern w:val="0"/>
          <w:sz w:val="27"/>
          <w:szCs w:val="27"/>
        </w:rPr>
      </w:pPr>
      <w:r>
        <w:rPr>
          <w:rFonts w:hint="eastAsia" w:ascii="楷体" w:hAnsi="楷体" w:eastAsia="楷体" w:cs="楷体"/>
          <w:color w:val="000000"/>
          <w:kern w:val="0"/>
          <w:sz w:val="27"/>
          <w:szCs w:val="27"/>
        </w:rPr>
        <w:t>过往业绩仅供参考，不代表未来表现，不等于理财产品实际收益，投资须谨慎。</w:t>
      </w:r>
    </w:p>
    <w:p>
      <w:pPr>
        <w:widowControl/>
        <w:ind w:firstLine="540" w:firstLineChars="200"/>
        <w:jc w:val="left"/>
        <w:rPr>
          <w:rFonts w:ascii="楷体" w:hAnsi="楷体" w:eastAsia="楷体" w:cs="楷体"/>
          <w:color w:val="000000"/>
          <w:kern w:val="0"/>
          <w:sz w:val="27"/>
          <w:szCs w:val="27"/>
        </w:rPr>
      </w:pPr>
      <w:r>
        <w:rPr>
          <w:rFonts w:hint="eastAsia" w:ascii="楷体" w:hAnsi="楷体" w:eastAsia="楷体" w:cs="楷体"/>
          <w:color w:val="000000"/>
          <w:kern w:val="0"/>
          <w:sz w:val="27"/>
          <w:szCs w:val="27"/>
        </w:rPr>
        <w:t>特此公告。</w:t>
      </w:r>
    </w:p>
    <w:p>
      <w:pPr>
        <w:widowControl/>
        <w:ind w:firstLine="540" w:firstLineChars="200"/>
        <w:jc w:val="right"/>
        <w:rPr>
          <w:rFonts w:ascii="楷体" w:hAnsi="楷体" w:eastAsia="楷体" w:cs="楷体"/>
          <w:color w:val="000000"/>
          <w:kern w:val="0"/>
          <w:sz w:val="27"/>
          <w:szCs w:val="27"/>
        </w:rPr>
      </w:pPr>
      <w:r>
        <w:rPr>
          <w:rFonts w:hint="eastAsia" w:ascii="楷体" w:hAnsi="楷体" w:eastAsia="楷体" w:cs="楷体"/>
          <w:color w:val="000000"/>
          <w:kern w:val="0"/>
          <w:sz w:val="27"/>
          <w:szCs w:val="27"/>
        </w:rPr>
        <w:t>苏银理财有限责任公司</w:t>
      </w:r>
    </w:p>
    <w:p>
      <w:pPr>
        <w:widowControl/>
        <w:ind w:firstLine="540" w:firstLineChars="200"/>
        <w:jc w:val="right"/>
        <w:rPr>
          <w:rFonts w:ascii="楷体" w:hAnsi="楷体" w:eastAsia="楷体" w:cs="楷体"/>
          <w:color w:val="000000"/>
          <w:kern w:val="0"/>
          <w:sz w:val="27"/>
          <w:szCs w:val="27"/>
        </w:rPr>
      </w:pPr>
      <w:r>
        <w:rPr>
          <w:rFonts w:ascii="楷体" w:hAnsi="楷体" w:eastAsia="楷体" w:cs="楷体"/>
          <w:color w:val="000000"/>
          <w:kern w:val="0"/>
          <w:sz w:val="27"/>
          <w:szCs w:val="27"/>
        </w:rPr>
        <w:t>2026</w:t>
      </w:r>
      <w:r>
        <w:rPr>
          <w:rFonts w:hint="eastAsia" w:ascii="楷体" w:hAnsi="楷体" w:eastAsia="楷体" w:cs="楷体"/>
          <w:color w:val="000000"/>
          <w:kern w:val="0"/>
          <w:sz w:val="27"/>
          <w:szCs w:val="27"/>
        </w:rPr>
        <w:t>年</w:t>
      </w:r>
      <w:r>
        <w:rPr>
          <w:rFonts w:ascii="楷体" w:hAnsi="楷体" w:eastAsia="楷体" w:cs="楷体"/>
          <w:color w:val="000000"/>
          <w:kern w:val="0"/>
          <w:sz w:val="27"/>
          <w:szCs w:val="27"/>
        </w:rPr>
        <w:t>7</w:t>
      </w:r>
      <w:r>
        <w:rPr>
          <w:rFonts w:hint="eastAsia" w:ascii="楷体" w:hAnsi="楷体" w:eastAsia="楷体" w:cs="楷体"/>
          <w:color w:val="000000"/>
          <w:kern w:val="0"/>
          <w:sz w:val="27"/>
          <w:szCs w:val="27"/>
        </w:rPr>
        <w:t>月</w:t>
      </w:r>
      <w:r>
        <w:rPr>
          <w:rFonts w:ascii="楷体" w:hAnsi="楷体" w:eastAsia="楷体" w:cs="楷体"/>
          <w:color w:val="000000"/>
          <w:kern w:val="0"/>
          <w:sz w:val="27"/>
          <w:szCs w:val="27"/>
        </w:rPr>
        <w:t>30</w:t>
      </w:r>
      <w:r>
        <w:rPr>
          <w:rFonts w:hint="eastAsia" w:ascii="楷体" w:hAnsi="楷体" w:eastAsia="楷体" w:cs="楷体"/>
          <w:color w:val="000000"/>
          <w:kern w:val="0"/>
          <w:sz w:val="27"/>
          <w:szCs w:val="27"/>
        </w:rPr>
        <w:t>日</w:t>
      </w:r>
    </w:p>
    <w:p>
      <w:pPr>
        <w:rPr>
          <w:rFonts w:ascii="楷体" w:hAnsi="楷体" w:eastAsia="楷体" w:cs="楷体"/>
        </w:rPr>
      </w:pPr>
    </w:p>
    <w:p>
      <w:pPr>
        <w:rPr>
          <w:rFonts w:hint="eastAsia" w:ascii="楷体" w:hAnsi="楷体" w:eastAsia="楷体" w:cs="楷体"/>
        </w:rPr>
      </w:pPr>
    </w:p>
    <w:p>
      <w:pPr>
        <w:rPr>
          <w:rFonts w:ascii="楷体" w:hAnsi="楷体" w:eastAsia="楷体" w:cs="楷体"/>
        </w:rPr>
      </w:pPr>
      <w:bookmarkStart w:id="0" w:name="_GoBack"/>
      <w:bookmarkEnd w:id="0"/>
      <w:r>
        <w:rPr>
          <w:rFonts w:hint="eastAsia" w:ascii="楷体" w:hAnsi="楷体" w:eastAsia="楷体" w:cs="楷体"/>
        </w:rPr>
        <w:t>备注：本次披露内容解释权归苏银理财所有，不构成任何形式的法律要约或承诺。</w:t>
      </w: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>
      <w:rPr>
        <w:b/>
        <w:bCs/>
        <w:sz w:val="24"/>
        <w:szCs w:val="24"/>
      </w:rPr>
      <w:fldChar w:fldCharType="end"/>
    </w:r>
  </w:p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kinsoku w:val="0"/>
      <w:overflowPunct w:val="0"/>
      <w:spacing w:before="0" w:line="320" w:lineRule="exact"/>
      <w:ind w:left="20"/>
      <w:jc w:val="both"/>
      <w:rPr>
        <w:rFonts w:ascii="楷体" w:hAnsi="楷体" w:eastAsia="楷体" w:cs="黑体"/>
        <w:b/>
        <w:spacing w:val="-2"/>
        <w:sz w:val="24"/>
        <w:szCs w:val="24"/>
      </w:rPr>
    </w:pPr>
    <w:r>
      <w:rPr>
        <w:rFonts w:ascii="楷体" w:hAnsi="楷体" w:eastAsia="楷体"/>
        <w:b/>
      </w:rPr>
      <w:pict>
        <v:shape id="WordPictureWatermark367128483" o:spid="_x0000_s4098" o:spt="75" type="#_x0000_t75" style="position:absolute;left:0pt;height:862.85pt;width:1137.35pt;mso-position-horizontal:center;mso-position-horizontal-relative:margin;mso-position-vertical:center;mso-position-vertical-relative:margin;z-index:-251655168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苏银理财"/>
          <o:lock v:ext="edit" aspectratio="t"/>
        </v:shape>
      </w:pict>
    </w:r>
    <w: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3923665</wp:posOffset>
          </wp:positionH>
          <wp:positionV relativeFrom="paragraph">
            <wp:posOffset>-95250</wp:posOffset>
          </wp:positionV>
          <wp:extent cx="1325245" cy="424815"/>
          <wp:effectExtent l="0" t="0" r="8255" b="0"/>
          <wp:wrapSquare wrapText="bothSides"/>
          <wp:docPr id="1" name="图片 1" descr="说明: 说明: C:\Users\JSYH\Desktop\苏银理财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说明: 说明: C:\Users\JSYH\Desktop\苏银理财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25245" cy="42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楷体" w:hAnsi="楷体" w:eastAsia="楷体" w:cs="黑体"/>
        <w:b/>
        <w:bCs/>
        <w:spacing w:val="-2"/>
        <w:sz w:val="24"/>
        <w:szCs w:val="24"/>
      </w:rPr>
      <w:t>理财非存款、产品有风险、投资须谨慎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pict>
        <v:shape id="WordPictureWatermark367128482" o:spid="_x0000_s4099" o:spt="75" type="#_x0000_t75" style="position:absolute;left:0pt;height:862.85pt;width:1137.35pt;mso-position-horizontal:center;mso-position-horizontal-relative:margin;mso-position-vertical:center;mso-position-vertical-relative:margin;z-index:-251656192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苏银理财"/>
          <o:lock v:ext="edit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pict>
        <v:shape id="WordPictureWatermark367128481" o:spid="_x0000_s4097" o:spt="75" type="#_x0000_t75" style="position:absolute;left:0pt;height:862.85pt;width:1137.35pt;mso-position-horizontal:center;mso-position-horizontal-relative:margin;mso-position-vertical:center;mso-position-vertical-relative:margin;z-index:-25165721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苏银理财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I0ZjE2ZGJmODM3N2NiNDJiYWY5YjdkYWE5MWQwMWMifQ=="/>
  </w:docVars>
  <w:rsids>
    <w:rsidRoot w:val="00C82298"/>
    <w:rsid w:val="000C729A"/>
    <w:rsid w:val="002010EC"/>
    <w:rsid w:val="00212BF8"/>
    <w:rsid w:val="00246CD5"/>
    <w:rsid w:val="002A12A3"/>
    <w:rsid w:val="002E297E"/>
    <w:rsid w:val="002F4B1C"/>
    <w:rsid w:val="00384393"/>
    <w:rsid w:val="00444F66"/>
    <w:rsid w:val="0056651E"/>
    <w:rsid w:val="00572614"/>
    <w:rsid w:val="005734D4"/>
    <w:rsid w:val="0066652C"/>
    <w:rsid w:val="006B59C2"/>
    <w:rsid w:val="007C1CB0"/>
    <w:rsid w:val="007D2760"/>
    <w:rsid w:val="00805935"/>
    <w:rsid w:val="00812D85"/>
    <w:rsid w:val="0084389E"/>
    <w:rsid w:val="008626CF"/>
    <w:rsid w:val="00876436"/>
    <w:rsid w:val="008E2898"/>
    <w:rsid w:val="00905588"/>
    <w:rsid w:val="009D169F"/>
    <w:rsid w:val="00B0267E"/>
    <w:rsid w:val="00BC44F4"/>
    <w:rsid w:val="00C82298"/>
    <w:rsid w:val="00CB3B08"/>
    <w:rsid w:val="00CC1DB4"/>
    <w:rsid w:val="00D12FB8"/>
    <w:rsid w:val="00D14797"/>
    <w:rsid w:val="00D71270"/>
    <w:rsid w:val="00E72933"/>
    <w:rsid w:val="00F82353"/>
    <w:rsid w:val="03DD2084"/>
    <w:rsid w:val="10E40EEB"/>
    <w:rsid w:val="26A71447"/>
    <w:rsid w:val="33B728BA"/>
    <w:rsid w:val="3D1132A5"/>
    <w:rsid w:val="58926D67"/>
    <w:rsid w:val="5A032560"/>
    <w:rsid w:val="65860D8A"/>
    <w:rsid w:val="6EB93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0"/>
    <w:unhideWhenUsed/>
    <w:qFormat/>
    <w:uiPriority w:val="99"/>
    <w:pPr>
      <w:jc w:val="left"/>
    </w:pPr>
  </w:style>
  <w:style w:type="paragraph" w:styleId="3">
    <w:name w:val="Body Text"/>
    <w:basedOn w:val="1"/>
    <w:link w:val="11"/>
    <w:qFormat/>
    <w:uiPriority w:val="1"/>
    <w:pPr>
      <w:autoSpaceDE w:val="0"/>
      <w:autoSpaceDN w:val="0"/>
      <w:adjustRightInd w:val="0"/>
      <w:spacing w:before="162"/>
      <w:ind w:left="120"/>
      <w:jc w:val="left"/>
    </w:pPr>
    <w:rPr>
      <w:rFonts w:ascii="宋体"/>
      <w:kern w:val="0"/>
      <w:sz w:val="20"/>
      <w:szCs w:val="21"/>
    </w:r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0">
    <w:name w:val="批注文字 字符"/>
    <w:basedOn w:val="8"/>
    <w:link w:val="2"/>
    <w:qFormat/>
    <w:uiPriority w:val="99"/>
    <w:rPr>
      <w:rFonts w:ascii="Times New Roman" w:hAnsi="Times New Roman" w:eastAsia="宋体" w:cs="Times New Roman"/>
    </w:rPr>
  </w:style>
  <w:style w:type="character" w:customStyle="1" w:styleId="11">
    <w:name w:val="正文文本 字符"/>
    <w:basedOn w:val="8"/>
    <w:link w:val="3"/>
    <w:qFormat/>
    <w:uiPriority w:val="1"/>
    <w:rPr>
      <w:rFonts w:ascii="宋体" w:hAnsi="Times New Roman" w:eastAsia="宋体" w:cs="Times New Roman"/>
      <w:kern w:val="0"/>
      <w:sz w:val="20"/>
      <w:szCs w:val="21"/>
    </w:rPr>
  </w:style>
  <w:style w:type="character" w:customStyle="1" w:styleId="12">
    <w:name w:val="页脚 字符"/>
    <w:basedOn w:val="8"/>
    <w:link w:val="5"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13">
    <w:name w:val="页眉 字符"/>
    <w:basedOn w:val="8"/>
    <w:link w:val="6"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14">
    <w:name w:val="批注框文本 字符"/>
    <w:basedOn w:val="8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2</Pages>
  <Words>109</Words>
  <Characters>622</Characters>
  <Lines>5</Lines>
  <Paragraphs>1</Paragraphs>
  <TotalTime>0</TotalTime>
  <ScaleCrop>false</ScaleCrop>
  <LinksUpToDate>false</LinksUpToDate>
  <CharactersWithSpaces>730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2023-08-01T10:40:00Z</dcterms:created>
  <dc:creator>User</dc:creator>
  <cp:lastModifiedBy>孙伯略</cp:lastModifiedBy>
  <dcterms:modified xsi:type="dcterms:W3CDTF">2026-07-30T09:25:00Z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  <property fmtid="{D5CDD505-2E9C-101B-9397-08002B2CF9AE}" pid="3" name="ICV">
    <vt:lpwstr>C0D929318B324BBCBAFE8537972014C2</vt:lpwstr>
  </property>
</Properties>
</file>